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bookmarkStart w:id="198" w:name="_GoBack"/>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安徽</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交控东流</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新材料有限公司</w:t>
      </w:r>
    </w:p>
    <w:p w14:paraId="3C6B6F6E">
      <w:pPr>
        <w:bidi w:val="0"/>
        <w:jc w:val="center"/>
        <w:rPr>
          <w:rFonts w:hint="default" w:ascii="Times New Roman" w:hAnsi="Times New Roman" w:eastAsia="方正小标宋_GBK" w:cs="Times New Roman"/>
          <w:color w:val="000000" w:themeColor="text1"/>
          <w:sz w:val="32"/>
          <w:szCs w:val="32"/>
          <w:highlight w:val="none"/>
          <w14:textFill>
            <w14:solidFill>
              <w14:schemeClr w14:val="tx1"/>
            </w14:solidFill>
          </w14:textFill>
        </w:rPr>
      </w:pPr>
      <w:bookmarkStart w:id="0" w:name="_Toc3531"/>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202</w:t>
      </w:r>
      <w:r>
        <w:rPr>
          <w:rFonts w:hint="eastAsia"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年第</w:t>
      </w:r>
      <w:r>
        <w:rPr>
          <w:rFonts w:hint="eastAsia"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期</w:t>
      </w:r>
      <w:r>
        <w:rPr>
          <w:rFonts w:hint="eastAsia"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杂石混合料</w:t>
      </w: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竞价销售项目</w:t>
      </w:r>
      <w:bookmarkEnd w:id="0"/>
    </w:p>
    <w:p w14:paraId="01791828">
      <w:pPr>
        <w:pStyle w:val="7"/>
        <w:rPr>
          <w:rFonts w:hint="default" w:ascii="Times New Roman" w:hAnsi="Times New Roman" w:cs="Times New Roman"/>
          <w:color w:val="000000" w:themeColor="text1"/>
          <w:highlight w:val="none"/>
          <w14:textFill>
            <w14:solidFill>
              <w14:schemeClr w14:val="tx1"/>
            </w14:solidFill>
          </w14:textFill>
        </w:rPr>
      </w:pPr>
    </w:p>
    <w:p w14:paraId="595427CD">
      <w:pPr>
        <w:pStyle w:val="7"/>
        <w:ind w:left="0" w:leftChars="0" w:firstLine="0" w:firstLineChars="0"/>
        <w:jc w:val="center"/>
        <w:outlineLvl w:val="0"/>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pPr>
      <w:bookmarkStart w:id="1" w:name="_Toc17282"/>
      <w:bookmarkStart w:id="2" w:name="_Toc23529"/>
      <w:bookmarkStart w:id="3" w:name="_Toc26801"/>
      <w:bookmarkStart w:id="4" w:name="_Toc26897"/>
      <w:bookmarkStart w:id="5" w:name="_Toc10213"/>
      <w:bookmarkStart w:id="6" w:name="_Toc27152"/>
      <w:bookmarkStart w:id="7" w:name="_Toc16721"/>
      <w:bookmarkStart w:id="8" w:name="_Toc25941"/>
      <w:bookmarkStart w:id="9" w:name="_Toc10721"/>
      <w:r>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t>竞</w:t>
      </w:r>
      <w:bookmarkEnd w:id="1"/>
      <w:bookmarkEnd w:id="2"/>
      <w:bookmarkEnd w:id="3"/>
      <w:bookmarkEnd w:id="4"/>
      <w:bookmarkEnd w:id="5"/>
      <w:bookmarkEnd w:id="6"/>
      <w:bookmarkEnd w:id="7"/>
      <w:bookmarkEnd w:id="8"/>
      <w:bookmarkEnd w:id="9"/>
    </w:p>
    <w:p w14:paraId="4CB1D57B">
      <w:pPr>
        <w:pStyle w:val="7"/>
        <w:ind w:left="0" w:leftChars="0" w:firstLine="0" w:firstLineChars="0"/>
        <w:jc w:val="center"/>
        <w:outlineLvl w:val="0"/>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pPr>
      <w:bookmarkStart w:id="10" w:name="_Toc9731"/>
      <w:bookmarkStart w:id="11" w:name="_Toc6547"/>
      <w:bookmarkStart w:id="12" w:name="_Toc10799"/>
      <w:bookmarkStart w:id="13" w:name="_Toc22796"/>
      <w:bookmarkStart w:id="14" w:name="_Toc23779"/>
      <w:bookmarkStart w:id="15" w:name="_Toc10956"/>
      <w:bookmarkStart w:id="16" w:name="_Toc27179"/>
      <w:bookmarkStart w:id="17" w:name="_Toc27929"/>
      <w:bookmarkStart w:id="18" w:name="_Toc14741"/>
      <w:r>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t>价</w:t>
      </w:r>
      <w:bookmarkEnd w:id="10"/>
      <w:bookmarkEnd w:id="11"/>
      <w:bookmarkEnd w:id="12"/>
      <w:bookmarkEnd w:id="13"/>
      <w:bookmarkEnd w:id="14"/>
      <w:bookmarkEnd w:id="15"/>
      <w:bookmarkEnd w:id="16"/>
      <w:bookmarkEnd w:id="17"/>
      <w:bookmarkEnd w:id="18"/>
    </w:p>
    <w:p w14:paraId="5A7C1A7E">
      <w:pPr>
        <w:pStyle w:val="7"/>
        <w:ind w:left="0" w:leftChars="0" w:firstLine="0" w:firstLineChars="0"/>
        <w:jc w:val="center"/>
        <w:outlineLvl w:val="0"/>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pPr>
      <w:bookmarkStart w:id="19" w:name="_Toc7443"/>
      <w:bookmarkStart w:id="20" w:name="_Toc11645"/>
      <w:bookmarkStart w:id="21" w:name="_Toc25320"/>
      <w:bookmarkStart w:id="22" w:name="_Toc5766"/>
      <w:bookmarkStart w:id="23" w:name="_Toc1037"/>
      <w:bookmarkStart w:id="24" w:name="_Toc28029"/>
      <w:bookmarkStart w:id="25" w:name="_Toc3459"/>
      <w:bookmarkStart w:id="26" w:name="_Toc18910"/>
      <w:bookmarkStart w:id="27" w:name="_Toc3558"/>
      <w:r>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t>销</w:t>
      </w:r>
      <w:bookmarkEnd w:id="19"/>
      <w:bookmarkEnd w:id="20"/>
      <w:bookmarkEnd w:id="21"/>
      <w:bookmarkEnd w:id="22"/>
      <w:bookmarkEnd w:id="23"/>
      <w:bookmarkEnd w:id="24"/>
      <w:bookmarkEnd w:id="25"/>
      <w:bookmarkEnd w:id="26"/>
      <w:bookmarkEnd w:id="27"/>
    </w:p>
    <w:p w14:paraId="49EC5CBC">
      <w:pPr>
        <w:pStyle w:val="7"/>
        <w:ind w:left="0" w:leftChars="0" w:firstLine="0" w:firstLineChars="0"/>
        <w:jc w:val="center"/>
        <w:outlineLvl w:val="0"/>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pPr>
      <w:bookmarkStart w:id="28" w:name="_Toc25825"/>
      <w:bookmarkStart w:id="29" w:name="_Toc6573"/>
      <w:bookmarkStart w:id="30" w:name="_Toc22233"/>
      <w:bookmarkStart w:id="31" w:name="_Toc24952"/>
      <w:bookmarkStart w:id="32" w:name="_Toc13286"/>
      <w:bookmarkStart w:id="33" w:name="_Toc9412"/>
      <w:bookmarkStart w:id="34" w:name="_Toc16368"/>
      <w:bookmarkStart w:id="35" w:name="_Toc9436"/>
      <w:bookmarkStart w:id="36" w:name="_Toc15804"/>
      <w:r>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t>售</w:t>
      </w:r>
      <w:bookmarkEnd w:id="28"/>
      <w:bookmarkEnd w:id="29"/>
      <w:bookmarkEnd w:id="30"/>
      <w:bookmarkEnd w:id="31"/>
      <w:bookmarkEnd w:id="32"/>
      <w:bookmarkEnd w:id="33"/>
      <w:bookmarkEnd w:id="34"/>
      <w:bookmarkEnd w:id="35"/>
      <w:bookmarkEnd w:id="36"/>
    </w:p>
    <w:p w14:paraId="6398E3B0">
      <w:pPr>
        <w:pStyle w:val="7"/>
        <w:ind w:left="0" w:leftChars="0" w:firstLine="0" w:firstLineChars="0"/>
        <w:jc w:val="center"/>
        <w:outlineLvl w:val="0"/>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pPr>
      <w:bookmarkStart w:id="37" w:name="_Toc16975"/>
      <w:bookmarkStart w:id="38" w:name="_Toc14955"/>
      <w:bookmarkStart w:id="39" w:name="_Toc6247"/>
      <w:bookmarkStart w:id="40" w:name="_Toc2440"/>
      <w:bookmarkStart w:id="41" w:name="_Toc28545"/>
      <w:bookmarkStart w:id="42" w:name="_Toc20567"/>
      <w:bookmarkStart w:id="43" w:name="_Toc2580"/>
      <w:bookmarkStart w:id="44" w:name="_Toc30386"/>
      <w:bookmarkStart w:id="45" w:name="_Toc16521"/>
      <w:r>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t>文</w:t>
      </w:r>
      <w:bookmarkEnd w:id="37"/>
      <w:bookmarkEnd w:id="38"/>
      <w:bookmarkEnd w:id="39"/>
      <w:bookmarkEnd w:id="40"/>
      <w:bookmarkEnd w:id="41"/>
      <w:bookmarkEnd w:id="42"/>
      <w:bookmarkEnd w:id="43"/>
      <w:bookmarkEnd w:id="44"/>
      <w:bookmarkEnd w:id="45"/>
    </w:p>
    <w:p w14:paraId="3A02D5A1">
      <w:pPr>
        <w:pStyle w:val="7"/>
        <w:ind w:left="0" w:leftChars="0" w:firstLine="0" w:firstLineChars="0"/>
        <w:jc w:val="center"/>
        <w:outlineLvl w:val="0"/>
        <w:rPr>
          <w:rFonts w:hint="default" w:ascii="Times New Roman" w:hAnsi="Times New Roman" w:cs="Times New Roman"/>
          <w:color w:val="000000" w:themeColor="text1"/>
          <w:highlight w:val="none"/>
          <w14:textFill>
            <w14:solidFill>
              <w14:schemeClr w14:val="tx1"/>
            </w14:solidFill>
          </w14:textFill>
        </w:rPr>
      </w:pPr>
      <w:bookmarkStart w:id="46" w:name="_Toc2415"/>
      <w:bookmarkStart w:id="47" w:name="_Toc5784"/>
      <w:bookmarkStart w:id="48" w:name="_Toc16526"/>
      <w:bookmarkStart w:id="49" w:name="_Toc18439"/>
      <w:bookmarkStart w:id="50" w:name="_Toc14381"/>
      <w:bookmarkStart w:id="51" w:name="_Toc31051"/>
      <w:bookmarkStart w:id="52" w:name="_Toc9773"/>
      <w:bookmarkStart w:id="53" w:name="_Toc64"/>
      <w:bookmarkStart w:id="54" w:name="_Toc24105"/>
      <w:r>
        <w:rPr>
          <w:rFonts w:hint="default" w:ascii="Times New Roman" w:hAnsi="Times New Roman" w:eastAsia="方正小标宋_GBK" w:cs="Times New Roman"/>
          <w:b w:val="0"/>
          <w:bCs w:val="0"/>
          <w:color w:val="000000" w:themeColor="text1"/>
          <w:sz w:val="72"/>
          <w:szCs w:val="72"/>
          <w:highlight w:val="none"/>
          <w14:textFill>
            <w14:solidFill>
              <w14:schemeClr w14:val="tx1"/>
            </w14:solidFill>
          </w14:textFill>
        </w:rPr>
        <w:t>件</w:t>
      </w:r>
      <w:bookmarkEnd w:id="46"/>
      <w:bookmarkEnd w:id="47"/>
      <w:bookmarkEnd w:id="48"/>
      <w:bookmarkEnd w:id="49"/>
      <w:bookmarkEnd w:id="50"/>
      <w:bookmarkEnd w:id="51"/>
      <w:bookmarkEnd w:id="52"/>
      <w:bookmarkEnd w:id="53"/>
      <w:bookmarkEnd w:id="54"/>
    </w:p>
    <w:p w14:paraId="259630CE">
      <w:pPr>
        <w:pStyle w:val="7"/>
        <w:rPr>
          <w:rFonts w:hint="default" w:ascii="Times New Roman" w:hAnsi="Times New Roman" w:cs="Times New Roman"/>
          <w:color w:val="000000" w:themeColor="text1"/>
          <w:highlight w:val="none"/>
          <w14:textFill>
            <w14:solidFill>
              <w14:schemeClr w14:val="tx1"/>
            </w14:solidFill>
          </w14:textFill>
        </w:rPr>
      </w:pPr>
    </w:p>
    <w:p w14:paraId="41A24F3E">
      <w:pPr>
        <w:pStyle w:val="7"/>
        <w:ind w:left="0" w:leftChars="0" w:firstLine="0" w:firstLineChars="0"/>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编号：</w:t>
      </w:r>
      <w:r>
        <w:rPr>
          <w:rFonts w:hint="default" w:ascii="Times New Roman" w:hAnsi="Times New Roman" w:cs="Times New Roman"/>
          <w:color w:val="000000" w:themeColor="text1"/>
          <w:highlight w:val="none"/>
          <w:u w:val="single"/>
          <w:lang w:val="en-US" w:eastAsia="zh-CN"/>
          <w14:textFill>
            <w14:solidFill>
              <w14:schemeClr w14:val="tx1"/>
            </w14:solidFill>
          </w14:textFill>
        </w:rPr>
        <w:t>JKXCL</w:t>
      </w:r>
      <w:r>
        <w:rPr>
          <w:rFonts w:hint="default" w:ascii="Times New Roman" w:hAnsi="Times New Roman" w:cs="Times New Roman"/>
          <w:color w:val="000000" w:themeColor="text1"/>
          <w:highlight w:val="none"/>
          <w:u w:val="single"/>
          <w14:textFill>
            <w14:solidFill>
              <w14:schemeClr w14:val="tx1"/>
            </w14:solidFill>
          </w14:textFill>
        </w:rPr>
        <w:t>-</w:t>
      </w:r>
      <w:r>
        <w:rPr>
          <w:rFonts w:hint="default" w:ascii="Times New Roman" w:hAnsi="Times New Roman" w:cs="Times New Roman"/>
          <w:color w:val="000000" w:themeColor="text1"/>
          <w:highlight w:val="none"/>
          <w:u w:val="single"/>
          <w:lang w:val="en-US" w:eastAsia="zh-CN"/>
          <w14:textFill>
            <w14:solidFill>
              <w14:schemeClr w14:val="tx1"/>
            </w14:solidFill>
          </w14:textFill>
        </w:rPr>
        <w:t>YX</w:t>
      </w:r>
      <w:r>
        <w:rPr>
          <w:rFonts w:hint="default" w:ascii="Times New Roman" w:hAnsi="Times New Roman" w:cs="Times New Roman"/>
          <w:color w:val="000000" w:themeColor="text1"/>
          <w:highlight w:val="none"/>
          <w:u w:val="single"/>
          <w14:textFill>
            <w14:solidFill>
              <w14:schemeClr w14:val="tx1"/>
            </w14:solidFill>
          </w14:textFill>
        </w:rPr>
        <w:t>-20</w:t>
      </w:r>
      <w:r>
        <w:rPr>
          <w:rFonts w:hint="default" w:ascii="Times New Roman" w:hAnsi="Times New Roman" w:cs="Times New Roman"/>
          <w:color w:val="000000" w:themeColor="text1"/>
          <w:highlight w:val="none"/>
          <w:u w:val="single"/>
          <w:lang w:val="en-US" w:eastAsia="zh-CN"/>
          <w14:textFill>
            <w14:solidFill>
              <w14:schemeClr w14:val="tx1"/>
            </w14:solidFill>
          </w14:textFill>
        </w:rPr>
        <w:t>2</w:t>
      </w:r>
      <w:r>
        <w:rPr>
          <w:rFonts w:hint="eastAsia"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lang w:val="en-US" w:eastAsia="zh-CN"/>
          <w14:textFill>
            <w14:solidFill>
              <w14:schemeClr w14:val="tx1"/>
            </w14:solidFill>
          </w14:textFill>
        </w:rPr>
        <w:t>-0</w:t>
      </w:r>
      <w:r>
        <w:rPr>
          <w:rFonts w:hint="eastAsia" w:ascii="Times New Roman" w:hAnsi="Times New Roman" w:cs="Times New Roman"/>
          <w:color w:val="000000" w:themeColor="text1"/>
          <w:highlight w:val="none"/>
          <w:u w:val="single"/>
          <w:lang w:val="en-US" w:eastAsia="zh-CN"/>
          <w14:textFill>
            <w14:solidFill>
              <w14:schemeClr w14:val="tx1"/>
            </w14:solidFill>
          </w14:textFill>
        </w:rPr>
        <w:t>3</w:t>
      </w:r>
    </w:p>
    <w:p w14:paraId="2FB73139">
      <w:pPr>
        <w:pStyle w:val="7"/>
        <w:jc w:val="center"/>
        <w:rPr>
          <w:rFonts w:hint="default" w:ascii="Times New Roman" w:hAnsi="Times New Roman" w:eastAsia="黑体" w:cs="Times New Roman"/>
          <w:color w:val="000000" w:themeColor="text1"/>
          <w:sz w:val="32"/>
          <w:szCs w:val="32"/>
          <w:highlight w:val="none"/>
          <w:u w:val="none"/>
          <w:shd w:val="clear" w:color="auto" w:fill="FFFFFF"/>
          <w14:textFill>
            <w14:solidFill>
              <w14:schemeClr w14:val="tx1"/>
            </w14:solidFill>
          </w14:textFill>
        </w:rPr>
      </w:pPr>
    </w:p>
    <w:p w14:paraId="0FA559C0">
      <w:pPr>
        <w:jc w:val="cente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pPr>
    </w:p>
    <w:p w14:paraId="006B5990">
      <w:pPr>
        <w:jc w:val="cente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安徽交控东流新材料有限公司</w:t>
      </w:r>
    </w:p>
    <w:p w14:paraId="0C00B0B1">
      <w:pPr>
        <w:pStyle w:val="7"/>
        <w:ind w:left="0" w:leftChars="0" w:firstLine="0" w:firstLineChars="0"/>
        <w:jc w:val="center"/>
        <w:rPr>
          <w:rFonts w:hint="default" w:ascii="Times New Roman" w:hAnsi="Times New Roman" w:eastAsia="黑体" w:cs="Times New Roman"/>
          <w:color w:val="000000" w:themeColor="text1"/>
          <w:sz w:val="32"/>
          <w:szCs w:val="32"/>
          <w:highlight w:val="none"/>
          <w:u w:val="none"/>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shd w:val="clear" w:color="auto" w:fill="FFFFFF"/>
          <w14:textFill>
            <w14:solidFill>
              <w14:schemeClr w14:val="tx1"/>
            </w14:solidFill>
          </w14:textFill>
        </w:rPr>
        <w:t>202</w:t>
      </w:r>
      <w:r>
        <w:rPr>
          <w:rFonts w:hint="eastAsia" w:ascii="Times New Roman" w:hAnsi="Times New Roman" w:eastAsia="黑体" w:cs="Times New Roman"/>
          <w:color w:val="000000" w:themeColor="text1"/>
          <w:sz w:val="32"/>
          <w:szCs w:val="32"/>
          <w:highlight w:val="none"/>
          <w:u w:val="none"/>
          <w:shd w:val="clear" w:color="auto" w:fill="FFFFFF"/>
          <w:lang w:val="en-US" w:eastAsia="zh-CN"/>
          <w14:textFill>
            <w14:solidFill>
              <w14:schemeClr w14:val="tx1"/>
            </w14:solidFill>
          </w14:textFill>
        </w:rPr>
        <w:t>5</w:t>
      </w:r>
      <w:r>
        <w:rPr>
          <w:rFonts w:hint="default" w:ascii="Times New Roman" w:hAnsi="Times New Roman" w:eastAsia="黑体" w:cs="Times New Roman"/>
          <w:color w:val="000000" w:themeColor="text1"/>
          <w:sz w:val="32"/>
          <w:szCs w:val="32"/>
          <w:highlight w:val="none"/>
          <w:u w:val="none"/>
          <w:shd w:val="clear" w:color="auto" w:fill="FFFFFF"/>
          <w14:textFill>
            <w14:solidFill>
              <w14:schemeClr w14:val="tx1"/>
            </w14:solidFill>
          </w14:textFill>
        </w:rPr>
        <w:t>年</w:t>
      </w:r>
      <w:r>
        <w:rPr>
          <w:rFonts w:hint="eastAsia" w:ascii="Times New Roman" w:hAnsi="Times New Roman" w:eastAsia="黑体" w:cs="Times New Roman"/>
          <w:color w:val="000000" w:themeColor="text1"/>
          <w:sz w:val="32"/>
          <w:szCs w:val="32"/>
          <w:highlight w:val="none"/>
          <w:u w:val="none"/>
          <w:shd w:val="clear" w:color="auto" w:fill="FFFFFF"/>
          <w:lang w:val="en-US" w:eastAsia="zh-CN"/>
          <w14:textFill>
            <w14:solidFill>
              <w14:schemeClr w14:val="tx1"/>
            </w14:solidFill>
          </w14:textFill>
        </w:rPr>
        <w:t>4</w:t>
      </w:r>
      <w:r>
        <w:rPr>
          <w:rFonts w:hint="default" w:ascii="Times New Roman" w:hAnsi="Times New Roman" w:eastAsia="黑体" w:cs="Times New Roman"/>
          <w:color w:val="000000" w:themeColor="text1"/>
          <w:sz w:val="32"/>
          <w:szCs w:val="32"/>
          <w:highlight w:val="none"/>
          <w:u w:val="none"/>
          <w:shd w:val="clear" w:color="auto" w:fill="FFFFFF"/>
          <w14:textFill>
            <w14:solidFill>
              <w14:schemeClr w14:val="tx1"/>
            </w14:solidFill>
          </w14:textFill>
        </w:rPr>
        <w:t>月</w:t>
      </w:r>
      <w:r>
        <w:rPr>
          <w:rFonts w:hint="eastAsia" w:ascii="Times New Roman" w:hAnsi="Times New Roman" w:eastAsia="黑体" w:cs="Times New Roman"/>
          <w:color w:val="000000" w:themeColor="text1"/>
          <w:sz w:val="32"/>
          <w:szCs w:val="32"/>
          <w:highlight w:val="none"/>
          <w:u w:val="none"/>
          <w:shd w:val="clear" w:color="auto" w:fill="FFFFFF"/>
          <w:lang w:val="en-US" w:eastAsia="zh-CN"/>
          <w14:textFill>
            <w14:solidFill>
              <w14:schemeClr w14:val="tx1"/>
            </w14:solidFill>
          </w14:textFill>
        </w:rPr>
        <w:t>23日</w:t>
      </w:r>
    </w:p>
    <w:p w14:paraId="1CC50900">
      <w:pPr>
        <w:pStyle w:val="7"/>
        <w:ind w:left="0" w:leftChars="0" w:firstLine="0" w:firstLineChars="0"/>
        <w:jc w:val="center"/>
        <w:rPr>
          <w:rFonts w:hint="default" w:ascii="Times New Roman" w:hAnsi="Times New Roman" w:eastAsia="黑体" w:cs="Times New Roman"/>
          <w:color w:val="000000" w:themeColor="text1"/>
          <w:sz w:val="32"/>
          <w:szCs w:val="32"/>
          <w:highlight w:val="none"/>
          <w:u w:val="none"/>
          <w:shd w:val="clear" w:color="auto" w:fill="FFFFFF"/>
          <w14:textFill>
            <w14:solidFill>
              <w14:schemeClr w14:val="tx1"/>
            </w14:solidFill>
          </w14:textFill>
        </w:rPr>
      </w:pPr>
    </w:p>
    <w:p w14:paraId="3D3EEFE6">
      <w:pPr>
        <w:spacing w:line="240" w:lineRule="auto"/>
        <w:jc w:val="center"/>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pPr>
    </w:p>
    <w:p w14:paraId="135E3F4E">
      <w:pPr>
        <w:spacing w:line="240" w:lineRule="auto"/>
        <w:jc w:val="cente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安徽交控东流新材料有限公司</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5</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年</w:t>
      </w:r>
    </w:p>
    <w:p w14:paraId="4BFCE36E">
      <w:pPr>
        <w:spacing w:line="240" w:lineRule="auto"/>
        <w:jc w:val="cente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第</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二</w:t>
      </w:r>
      <w:r>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期</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杂石混合料竞价销</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售</w:t>
      </w:r>
    </w:p>
    <w:p w14:paraId="5D0F8EBE">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p>
    <w:p w14:paraId="07AB3615">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color w:val="000000" w:themeColor="text1"/>
          <w:sz w:val="32"/>
          <w:szCs w:val="36"/>
          <w:highlight w:val="none"/>
          <w14:textFill>
            <w14:solidFill>
              <w14:schemeClr w14:val="tx1"/>
            </w14:solidFill>
          </w14:textFill>
        </w:rPr>
      </w:pPr>
      <w:r>
        <w:rPr>
          <w:rFonts w:hint="default" w:ascii="Times New Roman" w:hAnsi="Times New Roman" w:eastAsia="黑体" w:cs="Times New Roman"/>
          <w:b w:val="0"/>
          <w:bCs/>
          <w:color w:val="000000" w:themeColor="text1"/>
          <w:sz w:val="32"/>
          <w:szCs w:val="36"/>
          <w:highlight w:val="none"/>
          <w:lang w:val="en-US" w:eastAsia="zh-CN"/>
          <w14:textFill>
            <w14:solidFill>
              <w14:schemeClr w14:val="tx1"/>
            </w14:solidFill>
          </w14:textFill>
        </w:rPr>
        <w:t xml:space="preserve">第一章  </w:t>
      </w:r>
      <w:r>
        <w:rPr>
          <w:rFonts w:hint="default" w:ascii="Times New Roman" w:hAnsi="Times New Roman" w:eastAsia="黑体" w:cs="Times New Roman"/>
          <w:b w:val="0"/>
          <w:bCs/>
          <w:color w:val="000000" w:themeColor="text1"/>
          <w:sz w:val="32"/>
          <w:szCs w:val="36"/>
          <w:highlight w:val="none"/>
          <w14:textFill>
            <w14:solidFill>
              <w14:schemeClr w14:val="tx1"/>
            </w14:solidFill>
          </w14:textFill>
        </w:rPr>
        <w:t>竞价销售公</w:t>
      </w:r>
      <w:r>
        <w:rPr>
          <w:rFonts w:hint="default" w:ascii="Times New Roman" w:hAnsi="Times New Roman" w:eastAsia="黑体" w:cs="Times New Roman"/>
          <w:b w:val="0"/>
          <w:bCs/>
          <w:color w:val="000000" w:themeColor="text1"/>
          <w:sz w:val="32"/>
          <w:szCs w:val="36"/>
          <w:highlight w:val="none"/>
          <w:lang w:val="en-US"/>
          <w14:textFill>
            <w14:solidFill>
              <w14:schemeClr w14:val="tx1"/>
            </w14:solidFill>
          </w14:textFill>
        </w:rPr>
        <w:t>告</w:t>
      </w:r>
    </w:p>
    <w:p w14:paraId="3411197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各竞买人：</w:t>
      </w:r>
    </w:p>
    <w:p w14:paraId="671B181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现对安徽交控东流新材料有限公司（以下简称东流新材料有限公司或竞卖人）2025年第</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二</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期</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杂石混合料</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竞价销售项目产品进行公开预售竞价交易，公告如下：</w:t>
      </w:r>
      <w:bookmarkStart w:id="55" w:name="_Toc18278"/>
      <w:bookmarkStart w:id="56" w:name="_Toc23298"/>
    </w:p>
    <w:p w14:paraId="61629EC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一、</w:t>
      </w:r>
      <w:r>
        <w:rPr>
          <w:rFonts w:hint="default" w:ascii="Times New Roman" w:hAnsi="Times New Roman" w:eastAsia="黑体" w:cs="Times New Roman"/>
          <w:color w:val="000000" w:themeColor="text1"/>
          <w:sz w:val="28"/>
          <w:szCs w:val="28"/>
          <w:highlight w:val="none"/>
          <w14:textFill>
            <w14:solidFill>
              <w14:schemeClr w14:val="tx1"/>
            </w14:solidFill>
          </w14:textFill>
        </w:rPr>
        <w:t>竞价产品</w:t>
      </w:r>
      <w:bookmarkEnd w:id="55"/>
      <w:bookmarkEnd w:id="56"/>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及相关要求</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30"/>
        <w:gridCol w:w="1177"/>
        <w:gridCol w:w="1534"/>
        <w:gridCol w:w="1962"/>
        <w:gridCol w:w="969"/>
        <w:gridCol w:w="1097"/>
      </w:tblGrid>
      <w:tr w14:paraId="792D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91" w:type="dxa"/>
            <w:vAlign w:val="center"/>
          </w:tcPr>
          <w:p w14:paraId="142725F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bookmarkStart w:id="57" w:name="_Toc27967"/>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标包</w:t>
            </w:r>
          </w:p>
        </w:tc>
        <w:tc>
          <w:tcPr>
            <w:tcW w:w="1530" w:type="dxa"/>
            <w:vAlign w:val="center"/>
          </w:tcPr>
          <w:p w14:paraId="4FC8C41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产品名称</w:t>
            </w:r>
          </w:p>
        </w:tc>
        <w:tc>
          <w:tcPr>
            <w:tcW w:w="1177" w:type="dxa"/>
            <w:vAlign w:val="center"/>
          </w:tcPr>
          <w:p w14:paraId="73A4DCA3">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交易量</w:t>
            </w:r>
          </w:p>
          <w:p w14:paraId="79BB2D3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（万吨）</w:t>
            </w:r>
          </w:p>
        </w:tc>
        <w:tc>
          <w:tcPr>
            <w:tcW w:w="1534" w:type="dxa"/>
            <w:vAlign w:val="center"/>
          </w:tcPr>
          <w:p w14:paraId="232A883C">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含税竞价底</w:t>
            </w:r>
          </w:p>
          <w:p w14:paraId="4D99F22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价（元/吨）</w:t>
            </w:r>
          </w:p>
        </w:tc>
        <w:tc>
          <w:tcPr>
            <w:tcW w:w="1962" w:type="dxa"/>
            <w:vAlign w:val="center"/>
          </w:tcPr>
          <w:p w14:paraId="768DCB4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清运周期</w:t>
            </w:r>
          </w:p>
        </w:tc>
        <w:tc>
          <w:tcPr>
            <w:tcW w:w="969" w:type="dxa"/>
            <w:vAlign w:val="center"/>
          </w:tcPr>
          <w:p w14:paraId="4D8E783D">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税率</w:t>
            </w:r>
          </w:p>
        </w:tc>
        <w:tc>
          <w:tcPr>
            <w:tcW w:w="1097" w:type="dxa"/>
            <w:shd w:val="clear" w:color="auto" w:fill="auto"/>
            <w:vAlign w:val="center"/>
          </w:tcPr>
          <w:p w14:paraId="0D003D8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结算率</w:t>
            </w:r>
          </w:p>
        </w:tc>
      </w:tr>
      <w:tr w14:paraId="1C16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91" w:type="dxa"/>
            <w:vAlign w:val="center"/>
          </w:tcPr>
          <w:p w14:paraId="508D226A">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1包</w:t>
            </w:r>
          </w:p>
        </w:tc>
        <w:tc>
          <w:tcPr>
            <w:tcW w:w="1530" w:type="dxa"/>
            <w:vAlign w:val="center"/>
          </w:tcPr>
          <w:p w14:paraId="5925789B">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杂石混合料</w:t>
            </w:r>
          </w:p>
        </w:tc>
        <w:tc>
          <w:tcPr>
            <w:tcW w:w="1177" w:type="dxa"/>
            <w:vAlign w:val="center"/>
          </w:tcPr>
          <w:p w14:paraId="1786B665">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0</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.00</w:t>
            </w:r>
          </w:p>
        </w:tc>
        <w:tc>
          <w:tcPr>
            <w:tcW w:w="1534" w:type="dxa"/>
            <w:vAlign w:val="center"/>
          </w:tcPr>
          <w:p w14:paraId="0613786C">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6.00</w:t>
            </w:r>
          </w:p>
        </w:tc>
        <w:tc>
          <w:tcPr>
            <w:tcW w:w="1962" w:type="dxa"/>
            <w:vAlign w:val="center"/>
          </w:tcPr>
          <w:p w14:paraId="0656A9A1">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7月31日前</w:t>
            </w:r>
          </w:p>
          <w:p w14:paraId="7B94A51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完成清运</w:t>
            </w:r>
          </w:p>
        </w:tc>
        <w:tc>
          <w:tcPr>
            <w:tcW w:w="969" w:type="dxa"/>
            <w:vAlign w:val="center"/>
          </w:tcPr>
          <w:p w14:paraId="67F0A2D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13%</w:t>
            </w:r>
          </w:p>
        </w:tc>
        <w:tc>
          <w:tcPr>
            <w:tcW w:w="1097" w:type="dxa"/>
            <w:shd w:val="clear" w:color="auto" w:fill="auto"/>
            <w:vAlign w:val="center"/>
          </w:tcPr>
          <w:p w14:paraId="0160A16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华文仿宋" w:cs="Times New Roman"/>
                <w:b w:val="0"/>
                <w:bCs w:val="0"/>
                <w:color w:val="000000" w:themeColor="text1"/>
                <w:kern w:val="2"/>
                <w:sz w:val="24"/>
                <w:szCs w:val="24"/>
                <w:highlight w:val="none"/>
                <w:lang w:val="en-US" w:eastAsia="zh-CN" w:bidi="ar-SA"/>
                <w14:textFill>
                  <w14:solidFill>
                    <w14:schemeClr w14:val="tx1"/>
                  </w14:solidFill>
                </w14:textFill>
              </w:rPr>
              <w:t>98.5%</w:t>
            </w:r>
          </w:p>
        </w:tc>
      </w:tr>
      <w:tr w14:paraId="73F8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exact"/>
          <w:jc w:val="center"/>
        </w:trPr>
        <w:tc>
          <w:tcPr>
            <w:tcW w:w="9060" w:type="dxa"/>
            <w:gridSpan w:val="7"/>
            <w:vAlign w:val="center"/>
          </w:tcPr>
          <w:p w14:paraId="0E005D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重要事项：</w:t>
            </w:r>
          </w:p>
          <w:p w14:paraId="30ADE7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本项目共</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个标包，</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各竞买人进行现场报价。</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竞价报价低于竞价底价的，属无效报价。</w:t>
            </w:r>
          </w:p>
        </w:tc>
      </w:tr>
    </w:tbl>
    <w:p w14:paraId="424829B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二、产品规格</w:t>
      </w:r>
      <w:bookmarkEnd w:id="57"/>
    </w:p>
    <w:p w14:paraId="03BB615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杂石混合料</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含有较多土质以及其他矿品的土石混合物，一般为SiO2＞4%，泥粉含量在40%～10%之间的单一矿品或多种矿品掺杂的土石混合物</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，规格≤100cm</w:t>
      </w: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w:t>
      </w:r>
    </w:p>
    <w:p w14:paraId="2F0AA5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本次</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竞售的料品</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堆存于柯家村矿悦民村株脑组堆场（以下简称堆场）内</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挖装过程不得挑拣。</w:t>
      </w:r>
    </w:p>
    <w:p w14:paraId="2D784D9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三、产品计量及提货</w:t>
      </w:r>
    </w:p>
    <w:p w14:paraId="46CFB4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1.计量方式：过磅计量（</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在</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竞卖人自建磅房处过磅）。</w:t>
      </w:r>
    </w:p>
    <w:p w14:paraId="2E3C252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2.结算量：</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以磅房实际过磅数量</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为准</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双方共</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同签字确认</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p>
    <w:p w14:paraId="03C4C2D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58" w:name="_Toc20742"/>
      <w:bookmarkStart w:id="59" w:name="_Toc1739"/>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3.提货地点：池州市东至县安徽交控东流新材料有限公司柯家村矿采矿区</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指定堆场</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p>
    <w:p w14:paraId="3BC07ED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4.提货作业方式：</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由</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甲方负责挖装，乙方采取汽运自提的方式</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完成料品的交付</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p>
    <w:p w14:paraId="23279C1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四、提货须知</w:t>
      </w:r>
      <w:bookmarkEnd w:id="58"/>
      <w:bookmarkEnd w:id="59"/>
    </w:p>
    <w:p w14:paraId="44BC9766">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bookmarkStart w:id="60" w:name="_Toc11105"/>
      <w:bookmarkStart w:id="61" w:name="_Toc22088"/>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1.竞买人参与</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此次竞售，</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视为已对矿山出场道路及矿山范围外运输道路路况进行了充分了解，后期竞买人不得以道路运输能力向竞卖人提出异议</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3BE6EB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2.竞得人在取得成交通知书之日起2个工作日内，持成交通知书与竞卖人签订购销合同，具体装载时间以竞卖人通知为准。</w:t>
      </w:r>
    </w:p>
    <w:p w14:paraId="664B911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3.矿区内装运及过磅须服从竞卖人统一管理、遵守竞卖人现场管理制度。</w:t>
      </w:r>
    </w:p>
    <w:p w14:paraId="73A4399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4.本期对竞得人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合同执行</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情况进行考核，</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具体情况如下：</w:t>
      </w:r>
    </w:p>
    <w:p w14:paraId="64243842">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（1）</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若</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现场标的料品实际数量＜30万吨，竞买人将指定堆场内所有料品清运完成后我公司予以清算，否则公司有权扣除履约保证金及剩余全部货款；现场清运结束后，合同结算数量仍有富余，双方协商是否由我公司继续提供同等品质料品，直至完成合同约定数量（结算量不得超过合同约定数量的 2%）。</w:t>
      </w:r>
    </w:p>
    <w:p w14:paraId="649362A2">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若</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现场标的料品实际数量≥30万吨，竞买人在完成合同约定数量的基础上需补交超出部分货款并继续对指定堆场内料品进行清运，直至指定堆场内料品全部清运完成；若客户拒绝执行，则我公司有权扣除竞得人全部履约保证金，并解除合同，同时将其列入黑名单，限制其2个月内不得参与公司开展的其他销售项目。</w:t>
      </w:r>
    </w:p>
    <w:p w14:paraId="3F5BB1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本期对竞得人提货进度履约情况进行考核，具体如下：</w:t>
      </w:r>
    </w:p>
    <w:p w14:paraId="3F3838B5">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在合同约定的清运时间内：</w:t>
      </w:r>
    </w:p>
    <w:p w14:paraId="5211C1E5">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（1）竞得人完成提货量为合同交易量80%（含）以上时，不视为竞得人违约；</w:t>
      </w:r>
    </w:p>
    <w:p w14:paraId="5162FE30">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竞得人完成提货量为合同交易量50%（含）~80%时，视为竞得人违约，须承担迟滞提货违约金，迟滞提货违约金计算标准：（合同交易量-累计提货量）×2元/吨，迟滞违约金从履约保证金中扣除，保证金不足的乙方需补交；</w:t>
      </w:r>
    </w:p>
    <w:p w14:paraId="44C73F5F">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3）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2C595831">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因恶劣天气及特殊情况因素影响，导致清运周期内竞得人未按合同数量清运完成，</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经甲方同意后</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清运周期予以顺延。</w:t>
      </w:r>
    </w:p>
    <w:p w14:paraId="3527527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.竞得人须按竞卖人指定路线，将竞价销售产品在竞卖人矿区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自建磅房</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过磅后出场。</w:t>
      </w:r>
    </w:p>
    <w:p w14:paraId="1624E6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.竞得人除应遵守国家相关法律法规及行业相关规定外，还应服从竞卖人及矿山相关管理规定，竞得人须保证其进入矿区内人员的人身及财产安全，如发生相关责任事故，产生的损失由竞得人自行承担。</w:t>
      </w:r>
    </w:p>
    <w:p w14:paraId="24E8999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8.上述考核互为补充，同时执行。</w:t>
      </w:r>
    </w:p>
    <w:p w14:paraId="276A0CED">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五、竞买人资格要求</w:t>
      </w:r>
      <w:bookmarkEnd w:id="60"/>
      <w:bookmarkEnd w:id="61"/>
    </w:p>
    <w:p w14:paraId="2ABDE07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竞买人资格要求均如下：</w:t>
      </w:r>
    </w:p>
    <w:p w14:paraId="5CDFD85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1.竞买人须具有良好的社会信誉，未被国家相关机构列入失信企业或失信人名单的企业法人（以竞价现场“信用中国”网站www.creditchina.gov.cn查询结果为准）。</w:t>
      </w:r>
    </w:p>
    <w:p w14:paraId="0338E79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2.竞买人须提供以下资料进行报名登记</w:t>
      </w:r>
    </w:p>
    <w:p w14:paraId="1019C1C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（1）营业执照复印件；</w:t>
      </w:r>
    </w:p>
    <w:p w14:paraId="27C4F00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（2）法定代表人身份证复印件；</w:t>
      </w:r>
    </w:p>
    <w:p w14:paraId="4A94BDC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注：复印件需加盖公章且不予退还。</w:t>
      </w:r>
    </w:p>
    <w:p w14:paraId="407CC6B7">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62" w:name="_Toc6966"/>
      <w:bookmarkStart w:id="63" w:name="_Toc19331"/>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六、</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竞买保证金</w:t>
      </w:r>
      <w:bookmarkEnd w:id="62"/>
      <w:bookmarkEnd w:id="63"/>
    </w:p>
    <w:p w14:paraId="28775D5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1.竞买保证金交纳</w:t>
      </w:r>
    </w:p>
    <w:p w14:paraId="45A7103D">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本次竞买保证金为（人民币小写）：</w:t>
      </w:r>
      <w:r>
        <w:rPr>
          <w:rFonts w:hint="eastAsia" w:ascii="Times New Roman" w:hAnsi="Times New Roman" w:cs="Times New Roman"/>
          <w:b/>
          <w:bCs/>
          <w:color w:val="000000" w:themeColor="text1"/>
          <w:sz w:val="28"/>
          <w:szCs w:val="28"/>
          <w:highlight w:val="none"/>
          <w:u w:val="single"/>
          <w:lang w:val="en-US" w:eastAsia="zh-CN"/>
          <w14:textFill>
            <w14:solidFill>
              <w14:schemeClr w14:val="tx1"/>
            </w14:solidFill>
          </w14:textFill>
        </w:rPr>
        <w:t>9</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万元，</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拟参加本次竞价的竞买人须在竞价评审时间前将竞买保证金汇至竞卖人指定收款账户（汇款人名称须与竞买人名称一致），</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并备注资金使用用途</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（第二期杂石混合料竞价保证金）</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5B03179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保证金交纳账户如下：</w:t>
      </w:r>
    </w:p>
    <w:p w14:paraId="3E35C98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账户名：安徽交控东流新材料有限公司</w:t>
      </w:r>
    </w:p>
    <w:p w14:paraId="6B7490F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账号：188770253881</w:t>
      </w:r>
    </w:p>
    <w:p w14:paraId="374F9C7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开户银行：</w:t>
      </w:r>
      <w:bookmarkStart w:id="64" w:name="_Toc28440"/>
      <w:bookmarkStart w:id="65" w:name="_Toc2627"/>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中国银行股份有限公司东至支行</w:t>
      </w:r>
    </w:p>
    <w:p w14:paraId="64A0753F">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2.竞买保证金退付</w:t>
      </w:r>
      <w:bookmarkEnd w:id="64"/>
      <w:bookmarkEnd w:id="65"/>
    </w:p>
    <w:p w14:paraId="074EA0D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取得竞得人资格的竞买人签订购销合同后，其竞买保证金自动转为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预付</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货款。未取得竞得人资格的竞买人，其竞买保证金在确定竞得人之日起5个工作日内予以无息退还。</w:t>
      </w:r>
    </w:p>
    <w:p w14:paraId="2B28B31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66" w:name="_Toc30094"/>
      <w:bookmarkStart w:id="67" w:name="_Toc16395"/>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七、</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竞价评审时间、地点</w:t>
      </w:r>
      <w:bookmarkEnd w:id="66"/>
      <w:bookmarkEnd w:id="67"/>
    </w:p>
    <w:p w14:paraId="504A319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竞价评审时间：</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年</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月</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25日15时00分</w:t>
      </w:r>
    </w:p>
    <w:p w14:paraId="72AF975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竞价地点：</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安徽省池州市东至县东流镇安徽交控东流新材料有限公司</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四楼</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会议室。</w:t>
      </w:r>
    </w:p>
    <w:p w14:paraId="13C853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68" w:name="_Toc14232"/>
      <w:bookmarkStart w:id="69" w:name="_Toc26026"/>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八、</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竞买人竞价资料提供</w:t>
      </w:r>
      <w:bookmarkEnd w:id="68"/>
      <w:bookmarkEnd w:id="69"/>
    </w:p>
    <w:p w14:paraId="7F68B41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1.应提交的资料：</w:t>
      </w:r>
    </w:p>
    <w:p w14:paraId="638476D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（1）企业营业执照复印件；</w:t>
      </w:r>
    </w:p>
    <w:p w14:paraId="7A2320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（2）法定代表人身份证复印件或法定代表人授权委托书原件；</w:t>
      </w:r>
    </w:p>
    <w:p w14:paraId="3997C6F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（3）《竞价交易承诺书》原件；</w:t>
      </w:r>
    </w:p>
    <w:p w14:paraId="181FDB2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（4）《竞买保证金汇款回执单》复印件；</w:t>
      </w:r>
    </w:p>
    <w:p w14:paraId="5DBCAC2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（5）《竞价报价单》原件；</w:t>
      </w:r>
    </w:p>
    <w:p w14:paraId="0C56BC0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（6）购买</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毛石</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在本地生产加工的，需提交具有合法生产加工手续的承诺函（详见附件）。</w:t>
      </w:r>
    </w:p>
    <w:p w14:paraId="5B508FE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竞买人提供的上述资料需按竞价文件要求加盖公章并签署法定代表人（或授权委托代理人）姓名后递交；竞价截止时间后，未递交的材料不予接收，已递交的资料不予撤回和修改。</w:t>
      </w:r>
    </w:p>
    <w:p w14:paraId="7F4FC0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2.资料递交的方式及地点：</w:t>
      </w:r>
    </w:p>
    <w:p w14:paraId="40A348C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（1）现场递交：</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通过现场递交的竞买人须由法定代表人或授权委托代理人将上述资料在</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年</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月</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25日15时00分</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之前递交至安徽省池州市东至县东流镇安徽交控东流新材料有限公司</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四楼</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会议室。</w:t>
      </w:r>
    </w:p>
    <w:p w14:paraId="5707577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（2）邮寄递交：</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采用邮寄方式递交竞价文件的竞买人应确保在</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年</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月</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25日15时00分</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之前，将竞价文件送达安徽交控东流新材料有限公司</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三楼市场营销</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部。邮寄地址：安徽省池州市东至县东流镇安徽交控东流新材料有限公司，签收人：吴先生13156590425/陈女士18712342028。</w:t>
      </w:r>
    </w:p>
    <w:p w14:paraId="7F77C0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70" w:name="_Toc738"/>
      <w:bookmarkStart w:id="71" w:name="_Toc14731"/>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九、</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竞价评审</w:t>
      </w: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流程及</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原则</w:t>
      </w:r>
      <w:bookmarkEnd w:id="70"/>
      <w:bookmarkEnd w:id="71"/>
    </w:p>
    <w:p w14:paraId="09230C9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1.标前登记</w:t>
      </w:r>
    </w:p>
    <w:p w14:paraId="167288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558965F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2.唱标</w:t>
      </w:r>
    </w:p>
    <w:p w14:paraId="2535459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开标后，唱标人对登记在册</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的</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竞标文件按时间先后顺序依次拆封并报价，</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记录人员详细记录，</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监标人现场监督</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并</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全过程录像。</w:t>
      </w:r>
    </w:p>
    <w:p w14:paraId="1A3BC00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3</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竞价方式</w:t>
      </w:r>
    </w:p>
    <w:p w14:paraId="767AFB71">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本次竞价采用</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一轮报价</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方式，竞买人提交的报价文件</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即</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为最终报价。</w:t>
      </w:r>
    </w:p>
    <w:p w14:paraId="09AA61E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4</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评标</w:t>
      </w:r>
    </w:p>
    <w:p w14:paraId="33A788C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开标结束，评标委员会对有效报价的竞价文件进行详细评审，满足相关要求的按照报价的高低，公布前3名中标候选人（不满足3人的，以现场实际数量公布候选人名单）。</w:t>
      </w:r>
    </w:p>
    <w:p w14:paraId="350EF77C">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5</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定标</w:t>
      </w:r>
    </w:p>
    <w:p w14:paraId="610824C0">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评标结束后，唱标人公布评标结果，并现场答疑，未按要求现场参与竞标结果宣布的，视为默认评审过程及评定结果。现场无疑后，宣布报价最高</w:t>
      </w: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者为</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中标人</w:t>
      </w:r>
      <w:r>
        <w:rPr>
          <w:rFonts w:hint="default"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（若出现并列情况，以标书递交登记时间先后顺序选定先登记的为中标人）</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并下发成交通知书。</w:t>
      </w:r>
    </w:p>
    <w:p w14:paraId="74A41C68">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72" w:name="_Toc17714"/>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十、</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履约保证金</w:t>
      </w: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及货款的</w:t>
      </w:r>
      <w:r>
        <w:rPr>
          <w:rFonts w:hint="default" w:ascii="Times New Roman" w:hAnsi="Times New Roman" w:eastAsia="黑体" w:cs="Times New Roman"/>
          <w:b w:val="0"/>
          <w:bCs/>
          <w:color w:val="000000" w:themeColor="text1"/>
          <w:sz w:val="28"/>
          <w:szCs w:val="28"/>
          <w:highlight w:val="none"/>
          <w14:textFill>
            <w14:solidFill>
              <w14:schemeClr w14:val="tx1"/>
            </w14:solidFill>
          </w14:textFill>
        </w:rPr>
        <w:t>支付</w:t>
      </w:r>
      <w:bookmarkEnd w:id="72"/>
    </w:p>
    <w:p w14:paraId="3406D719">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73" w:name="_Toc14136"/>
      <w:bookmarkStart w:id="74" w:name="_Toc14692"/>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1.</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履约保证金：</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履约保证金为合同价款的2%，在合同签订前竞得人需全额支付至甲方指定账户，</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未按要求及时支付的，视为弃权，竞买人有权没收</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其</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全部竞买保证金。</w:t>
      </w:r>
    </w:p>
    <w:p w14:paraId="17316305">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货款的支付：合同签订后，竞得人的所有竞买保证金直接转为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预付</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货款，</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同时</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竞得人</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需</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在合同签订后 1 个工作日内，将本次竞售项目的</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剩余</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全部</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货款</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足额支付至甲方指定账户。</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未按要求及时支付的，视为弃权，竞买人有权没收</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其</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全部竞买保证金。</w:t>
      </w:r>
    </w:p>
    <w:p w14:paraId="5B42A02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十一、竞得人资格放弃</w:t>
      </w:r>
      <w:bookmarkEnd w:id="73"/>
      <w:bookmarkEnd w:id="74"/>
    </w:p>
    <w:p w14:paraId="1B60A63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竞得人未在规定时间及时或拒绝签约的，视为其放弃竞得人资格，安徽交控东流新材料有限公司有权没收其全部竞买保证金，并有权依据竞价原则确定其他候选人为竞得人或组织再次竞价。</w:t>
      </w:r>
    </w:p>
    <w:p w14:paraId="716E375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75" w:name="_Toc29890"/>
      <w:bookmarkStart w:id="76" w:name="_Toc5987"/>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十二、信息发布</w:t>
      </w:r>
      <w:bookmarkEnd w:id="75"/>
      <w:bookmarkEnd w:id="76"/>
    </w:p>
    <w:p w14:paraId="239E366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000000" w:themeColor="text1"/>
          <w:spacing w:val="0"/>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本公告于</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年</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月</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24日</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在安东投资控股集团有限公司官方网站（http://www.adtzjt.com/news.aspx?classid=3）发布。</w:t>
      </w:r>
    </w:p>
    <w:p w14:paraId="09D8B43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77" w:name="_Toc24261"/>
      <w:bookmarkStart w:id="78" w:name="_Toc13468"/>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十三、联系方式</w:t>
      </w:r>
      <w:bookmarkEnd w:id="77"/>
      <w:bookmarkEnd w:id="78"/>
    </w:p>
    <w:p w14:paraId="106EB90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竞卖人：安徽交控东流新材料有限公司；</w:t>
      </w:r>
    </w:p>
    <w:p w14:paraId="6302050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联系地址：安徽省池州市东至县东流镇安徽交控东流新材料有限公司</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三楼市场营销</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部；</w:t>
      </w:r>
    </w:p>
    <w:p w14:paraId="5DD425A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联系人：吴先生13156590425/陈女士18712342028。</w:t>
      </w:r>
    </w:p>
    <w:p w14:paraId="69F6C6E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79" w:name="_Toc29526"/>
      <w:bookmarkStart w:id="80" w:name="_Toc17017"/>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十四、其他</w:t>
      </w:r>
      <w:bookmarkEnd w:id="79"/>
      <w:bookmarkEnd w:id="80"/>
    </w:p>
    <w:p w14:paraId="709F7440">
      <w:pPr>
        <w:pStyle w:val="7"/>
        <w:keepNext w:val="0"/>
        <w:keepLines w:val="0"/>
        <w:pageBreakBefore w:val="0"/>
        <w:kinsoku/>
        <w:wordWrap/>
        <w:overflowPunct/>
        <w:topLinePunct w:val="0"/>
        <w:autoSpaceDE/>
        <w:autoSpaceDN/>
        <w:bidi w:val="0"/>
        <w:adjustRightInd w:val="0"/>
        <w:snapToGrid w:val="0"/>
        <w:spacing w:line="520" w:lineRule="exact"/>
        <w:ind w:left="0" w:leftChars="0" w:firstLine="625"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合同执行期内产品销售单价不作调整</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竞得人不得以</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料品</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质量</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问题提出任何异议，</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否则甲方有权没收全部货款</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及其保证金</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65FE5FD4">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竞买人提交的所有文件不得涂改，否则无效。</w:t>
      </w:r>
    </w:p>
    <w:p w14:paraId="77B1BADA">
      <w:pPr>
        <w:pStyle w:val="8"/>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3</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.在竞价过程中，若存在围标、串标、借用资质及其他弄虚作假等违法违规行为，竞卖人有权没收竞买保证金</w:t>
      </w:r>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CAF3F4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4</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 本公告附件是本公告组成部分，与本公告具有同等法律效力</w:t>
      </w: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w:t>
      </w:r>
    </w:p>
    <w:p w14:paraId="593F7C8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5</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 本公告解释权归安徽交控东流新材料有限公司所有。</w:t>
      </w:r>
    </w:p>
    <w:p w14:paraId="09F3808D">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28"/>
          <w:highlight w:val="none"/>
          <w:lang w:val="en-US" w:eastAsia="zh-CN"/>
          <w14:textFill>
            <w14:solidFill>
              <w14:schemeClr w14:val="tx1"/>
            </w14:solidFill>
          </w14:textFill>
        </w:rPr>
        <w:t>第二章  购销</w:t>
      </w:r>
      <w:r>
        <w:rPr>
          <w:rFonts w:hint="default" w:ascii="Times New Roman" w:hAnsi="Times New Roman" w:eastAsia="黑体" w:cs="Times New Roman"/>
          <w:b w:val="0"/>
          <w:bCs w:val="0"/>
          <w:color w:val="000000" w:themeColor="text1"/>
          <w:sz w:val="32"/>
          <w:szCs w:val="28"/>
          <w:highlight w:val="none"/>
          <w14:textFill>
            <w14:solidFill>
              <w14:schemeClr w14:val="tx1"/>
            </w14:solidFill>
          </w14:textFill>
        </w:rPr>
        <w:t>合同</w:t>
      </w:r>
      <w:r>
        <w:rPr>
          <w:rFonts w:hint="default" w:ascii="Times New Roman" w:hAnsi="Times New Roman" w:eastAsia="黑体" w:cs="Times New Roman"/>
          <w:b w:val="0"/>
          <w:bCs w:val="0"/>
          <w:color w:val="000000" w:themeColor="text1"/>
          <w:sz w:val="32"/>
          <w:szCs w:val="28"/>
          <w:highlight w:val="none"/>
          <w:lang w:val="en-US" w:eastAsia="zh-CN"/>
          <w14:textFill>
            <w14:solidFill>
              <w14:schemeClr w14:val="tx1"/>
            </w14:solidFill>
          </w14:textFill>
        </w:rPr>
        <w:t>模板</w:t>
      </w:r>
    </w:p>
    <w:p w14:paraId="351C417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pPr>
      <w:bookmarkStart w:id="81" w:name="_Toc19788"/>
      <w:bookmarkStart w:id="82" w:name="_Toc10533"/>
    </w:p>
    <w:p w14:paraId="03BF2C6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32"/>
          <w:szCs w:val="32"/>
          <w:highlight w:val="none"/>
          <w:lang w:val="en-US" w:eastAsia="zh-CN"/>
          <w14:textFill>
            <w14:solidFill>
              <w14:schemeClr w14:val="tx1"/>
            </w14:solidFill>
          </w14:textFill>
        </w:rPr>
        <w:t>安徽交控东流新材料有限公司</w:t>
      </w:r>
      <w:r>
        <w:rPr>
          <w:rFonts w:hint="eastAsia" w:ascii="Times New Roman" w:hAnsi="Times New Roman" w:eastAsia="方正小标宋简体" w:cs="Times New Roman"/>
          <w:b w:val="0"/>
          <w:bCs w:val="0"/>
          <w:color w:val="000000" w:themeColor="text1"/>
          <w:sz w:val="32"/>
          <w:szCs w:val="32"/>
          <w:highlight w:val="none"/>
          <w:lang w:val="en-US" w:eastAsia="zh-CN"/>
          <w14:textFill>
            <w14:solidFill>
              <w14:schemeClr w14:val="tx1"/>
            </w14:solidFill>
          </w14:textFill>
        </w:rPr>
        <w:t>杂石混合料</w:t>
      </w:r>
      <w:r>
        <w:rPr>
          <w:rFonts w:hint="default" w:ascii="Times New Roman" w:hAnsi="Times New Roman" w:eastAsia="方正小标宋简体" w:cs="Times New Roman"/>
          <w:b w:val="0"/>
          <w:bCs w:val="0"/>
          <w:color w:val="000000" w:themeColor="text1"/>
          <w:sz w:val="32"/>
          <w:szCs w:val="32"/>
          <w:highlight w:val="none"/>
          <w:lang w:val="en-US" w:eastAsia="zh-CN"/>
          <w14:textFill>
            <w14:solidFill>
              <w14:schemeClr w14:val="tx1"/>
            </w14:solidFill>
          </w14:textFill>
        </w:rPr>
        <w:t>购</w:t>
      </w:r>
      <w:r>
        <w:rPr>
          <w:rFonts w:hint="default" w:ascii="Times New Roman" w:hAnsi="Times New Roman" w:eastAsia="方正小标宋简体" w:cs="Times New Roman"/>
          <w:b w:val="0"/>
          <w:bCs w:val="0"/>
          <w:color w:val="000000" w:themeColor="text1"/>
          <w:sz w:val="32"/>
          <w:szCs w:val="32"/>
          <w:highlight w:val="none"/>
          <w:lang w:eastAsia="zh-CN"/>
          <w14:textFill>
            <w14:solidFill>
              <w14:schemeClr w14:val="tx1"/>
            </w14:solidFill>
          </w14:textFill>
        </w:rPr>
        <w:t>销合同</w:t>
      </w:r>
      <w:bookmarkEnd w:id="81"/>
      <w:bookmarkEnd w:id="82"/>
    </w:p>
    <w:p w14:paraId="2F31052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000000" w:themeColor="text1"/>
          <w:sz w:val="28"/>
          <w:szCs w:val="28"/>
          <w:highlight w:val="none"/>
          <w:u w:val="single"/>
          <w:lang w:val="en-US"/>
          <w14:textFill>
            <w14:solidFill>
              <w14:schemeClr w14:val="tx1"/>
            </w14:solidFill>
          </w14:textFill>
        </w:rPr>
      </w:pP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合同编号</w:t>
      </w:r>
      <w:r>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t>：</w:t>
      </w:r>
      <w:r>
        <w:rPr>
          <w:rFonts w:hint="default" w:ascii="Times New Roman" w:hAnsi="Times New Roman" w:cs="Times New Roman"/>
          <w:bCs/>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u w:val="single"/>
          <w:lang w:val="en-US" w:eastAsia="zh-CN"/>
          <w14:textFill>
            <w14:solidFill>
              <w14:schemeClr w14:val="tx1"/>
            </w14:solidFill>
          </w14:textFill>
        </w:rPr>
        <w:t xml:space="preserve">       </w:t>
      </w:r>
    </w:p>
    <w:p w14:paraId="42C1210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p>
    <w:p w14:paraId="6DC11DB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甲方（供应方）：</w:t>
      </w:r>
      <w:r>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u w:val="single"/>
          <w:lang w:val="en-US" w:eastAsia="zh-CN"/>
          <w14:textFill>
            <w14:solidFill>
              <w14:schemeClr w14:val="tx1"/>
            </w14:solidFill>
          </w14:textFill>
        </w:rPr>
        <w:t xml:space="preserve">安徽交控东流新材料有限公司 </w:t>
      </w:r>
    </w:p>
    <w:p w14:paraId="37F1B20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乙方（需求方）：</w:t>
      </w:r>
      <w:r>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t xml:space="preserve">  </w:t>
      </w:r>
    </w:p>
    <w:p w14:paraId="161B0FB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合</w:t>
      </w:r>
      <w:r>
        <w:rPr>
          <w:rFonts w:hint="default" w:ascii="Times New Roman" w:hAnsi="Times New Roman" w:cs="Times New Roman"/>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同</w:t>
      </w:r>
      <w:r>
        <w:rPr>
          <w:rFonts w:hint="default" w:ascii="Times New Roman" w:hAnsi="Times New Roman" w:cs="Times New Roman"/>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w:t>
      </w:r>
      <w:r>
        <w:rPr>
          <w:rFonts w:hint="default" w:ascii="Times New Roman" w:hAnsi="Times New Roman" w:cs="Times New Roman"/>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订地：</w:t>
      </w:r>
      <w:r>
        <w:rPr>
          <w:rFonts w:hint="default" w:ascii="Times New Roman" w:hAnsi="Times New Roman" w:eastAsia="华文仿宋" w:cs="Times New Roman"/>
          <w:bCs/>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bCs/>
          <w:color w:val="000000" w:themeColor="text1"/>
          <w:sz w:val="28"/>
          <w:szCs w:val="28"/>
          <w:highlight w:val="none"/>
          <w:u w:val="single"/>
          <w:lang w:val="en-US" w:eastAsia="zh-CN"/>
          <w14:textFill>
            <w14:solidFill>
              <w14:schemeClr w14:val="tx1"/>
            </w14:solidFill>
          </w14:textFill>
        </w:rPr>
        <w:t xml:space="preserve">    安徽省池州市东至县 </w:t>
      </w:r>
      <w:r>
        <w:rPr>
          <w:rFonts w:hint="default" w:ascii="Times New Roman" w:hAnsi="Times New Roman" w:eastAsia="华文仿宋" w:cs="Times New Roman"/>
          <w:bCs/>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bCs/>
          <w:color w:val="000000" w:themeColor="text1"/>
          <w:sz w:val="28"/>
          <w:szCs w:val="28"/>
          <w:highlight w:val="none"/>
          <w:u w:val="single"/>
          <w14:textFill>
            <w14:solidFill>
              <w14:schemeClr w14:val="tx1"/>
            </w14:solidFill>
          </w14:textFill>
        </w:rPr>
        <w:t xml:space="preserve"> </w:t>
      </w:r>
    </w:p>
    <w:p w14:paraId="1BE5D2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pPr>
    </w:p>
    <w:p w14:paraId="2E115E3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根据《中华人民共和国民法典》等法律法规的规定，</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遵循</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平等互利、诚实守信的原则，现就甲方出售给乙方</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杂石混合料</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以</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下简称“</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产品</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”）事宜，经甲乙双方协商一致，签订本合同。</w:t>
      </w:r>
    </w:p>
    <w:p w14:paraId="35A45C1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32"/>
          <w:highlight w:val="none"/>
          <w14:textFill>
            <w14:solidFill>
              <w14:schemeClr w14:val="tx1"/>
            </w14:solidFill>
          </w14:textFill>
        </w:rPr>
      </w:pPr>
      <w:bookmarkStart w:id="83" w:name="_Toc2999"/>
      <w:bookmarkStart w:id="84" w:name="_Toc31089"/>
      <w:bookmarkStart w:id="85" w:name="_Toc28554_WPSOffice_Level1"/>
      <w:r>
        <w:rPr>
          <w:rFonts w:hint="default" w:ascii="Times New Roman" w:hAnsi="Times New Roman" w:eastAsia="黑体" w:cs="Times New Roman"/>
          <w:b w:val="0"/>
          <w:bCs/>
          <w:color w:val="000000" w:themeColor="text1"/>
          <w:sz w:val="28"/>
          <w:szCs w:val="32"/>
          <w:highlight w:val="none"/>
          <w:lang w:val="en-US" w:eastAsia="zh-CN"/>
          <w14:textFill>
            <w14:solidFill>
              <w14:schemeClr w14:val="tx1"/>
            </w14:solidFill>
          </w14:textFill>
        </w:rPr>
        <w:t>一、</w:t>
      </w:r>
      <w:r>
        <w:rPr>
          <w:rFonts w:hint="default" w:ascii="Times New Roman" w:hAnsi="Times New Roman" w:eastAsia="黑体" w:cs="Times New Roman"/>
          <w:b w:val="0"/>
          <w:bCs/>
          <w:color w:val="000000" w:themeColor="text1"/>
          <w:sz w:val="28"/>
          <w:szCs w:val="32"/>
          <w:highlight w:val="none"/>
          <w14:textFill>
            <w14:solidFill>
              <w14:schemeClr w14:val="tx1"/>
            </w14:solidFill>
          </w14:textFill>
        </w:rPr>
        <w:t>货物名称、数量及价格</w:t>
      </w:r>
      <w:bookmarkEnd w:id="83"/>
      <w:bookmarkEnd w:id="84"/>
      <w:bookmarkEnd w:id="85"/>
    </w:p>
    <w:tbl>
      <w:tblPr>
        <w:tblStyle w:val="9"/>
        <w:tblpPr w:leftFromText="180" w:rightFromText="180" w:vertAnchor="text" w:horzAnchor="page" w:tblpXSpec="center" w:tblpY="91"/>
        <w:tblOverlap w:val="never"/>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97"/>
        <w:gridCol w:w="915"/>
        <w:gridCol w:w="1215"/>
        <w:gridCol w:w="975"/>
        <w:gridCol w:w="1071"/>
        <w:gridCol w:w="1817"/>
        <w:gridCol w:w="1267"/>
      </w:tblGrid>
      <w:tr w14:paraId="36B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94" w:type="dxa"/>
            <w:noWrap w:val="0"/>
            <w:vAlign w:val="center"/>
          </w:tcPr>
          <w:p w14:paraId="3DCF7FA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pPr>
            <w:bookmarkStart w:id="86" w:name="_Toc6478"/>
            <w:bookmarkStart w:id="87" w:name="_Toc24138"/>
            <w:bookmarkStart w:id="88" w:name="_Toc30212_WPSOffice_Level1"/>
            <w:r>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t>货物名称</w:t>
            </w:r>
          </w:p>
        </w:tc>
        <w:tc>
          <w:tcPr>
            <w:tcW w:w="1197" w:type="dxa"/>
            <w:noWrap w:val="0"/>
            <w:vAlign w:val="center"/>
          </w:tcPr>
          <w:p w14:paraId="5C86E49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产品规格</w:t>
            </w:r>
          </w:p>
        </w:tc>
        <w:tc>
          <w:tcPr>
            <w:tcW w:w="915" w:type="dxa"/>
            <w:noWrap w:val="0"/>
            <w:vAlign w:val="center"/>
          </w:tcPr>
          <w:p w14:paraId="5ABAAB0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t>数量</w:t>
            </w:r>
          </w:p>
          <w:p w14:paraId="357675E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t>（吨）</w:t>
            </w:r>
          </w:p>
        </w:tc>
        <w:tc>
          <w:tcPr>
            <w:tcW w:w="1215" w:type="dxa"/>
            <w:noWrap w:val="0"/>
            <w:vAlign w:val="center"/>
          </w:tcPr>
          <w:p w14:paraId="3DA00FB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含税</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单价</w:t>
            </w:r>
          </w:p>
          <w:p w14:paraId="2D8B6936">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（元/吨）</w:t>
            </w:r>
          </w:p>
        </w:tc>
        <w:tc>
          <w:tcPr>
            <w:tcW w:w="975" w:type="dxa"/>
            <w:noWrap w:val="0"/>
            <w:vAlign w:val="center"/>
          </w:tcPr>
          <w:p w14:paraId="42B70307">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税率</w:t>
            </w:r>
          </w:p>
        </w:tc>
        <w:tc>
          <w:tcPr>
            <w:tcW w:w="1071" w:type="dxa"/>
            <w:noWrap w:val="0"/>
            <w:vAlign w:val="center"/>
          </w:tcPr>
          <w:p w14:paraId="304A9026">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结算率</w:t>
            </w:r>
          </w:p>
        </w:tc>
        <w:tc>
          <w:tcPr>
            <w:tcW w:w="1817" w:type="dxa"/>
            <w:noWrap w:val="0"/>
            <w:vAlign w:val="center"/>
          </w:tcPr>
          <w:p w14:paraId="11F0746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含税合同总</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金额（元）</w:t>
            </w:r>
          </w:p>
        </w:tc>
        <w:tc>
          <w:tcPr>
            <w:tcW w:w="1267" w:type="dxa"/>
            <w:noWrap w:val="0"/>
            <w:vAlign w:val="center"/>
          </w:tcPr>
          <w:p w14:paraId="5ED6267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不含税合同总</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金额（元）</w:t>
            </w:r>
          </w:p>
        </w:tc>
      </w:tr>
      <w:tr w14:paraId="224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2C4BE4F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杂石混合料</w:t>
            </w:r>
          </w:p>
        </w:tc>
        <w:tc>
          <w:tcPr>
            <w:tcW w:w="1197" w:type="dxa"/>
            <w:noWrap w:val="0"/>
            <w:vAlign w:val="center"/>
          </w:tcPr>
          <w:p w14:paraId="23FCA96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p>
        </w:tc>
        <w:tc>
          <w:tcPr>
            <w:tcW w:w="915" w:type="dxa"/>
            <w:noWrap w:val="0"/>
            <w:vAlign w:val="center"/>
          </w:tcPr>
          <w:p w14:paraId="0586EBA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p>
        </w:tc>
        <w:tc>
          <w:tcPr>
            <w:tcW w:w="1215" w:type="dxa"/>
            <w:noWrap w:val="0"/>
            <w:vAlign w:val="center"/>
          </w:tcPr>
          <w:p w14:paraId="17668C3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p>
        </w:tc>
        <w:tc>
          <w:tcPr>
            <w:tcW w:w="975" w:type="dxa"/>
            <w:noWrap w:val="0"/>
            <w:vAlign w:val="center"/>
          </w:tcPr>
          <w:p w14:paraId="7E4F9F0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13%</w:t>
            </w:r>
          </w:p>
        </w:tc>
        <w:tc>
          <w:tcPr>
            <w:tcW w:w="1071" w:type="dxa"/>
            <w:noWrap w:val="0"/>
            <w:vAlign w:val="center"/>
          </w:tcPr>
          <w:p w14:paraId="5F642D6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98.5%</w:t>
            </w:r>
          </w:p>
        </w:tc>
        <w:tc>
          <w:tcPr>
            <w:tcW w:w="1817" w:type="dxa"/>
            <w:noWrap w:val="0"/>
            <w:vAlign w:val="center"/>
          </w:tcPr>
          <w:p w14:paraId="3A77639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p>
        </w:tc>
        <w:tc>
          <w:tcPr>
            <w:tcW w:w="1267" w:type="dxa"/>
            <w:noWrap w:val="0"/>
            <w:vAlign w:val="center"/>
          </w:tcPr>
          <w:p w14:paraId="7A83E22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p>
        </w:tc>
      </w:tr>
      <w:tr w14:paraId="55E3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951" w:type="dxa"/>
            <w:gridSpan w:val="8"/>
            <w:noWrap w:val="0"/>
            <w:vAlign w:val="center"/>
          </w:tcPr>
          <w:p w14:paraId="2F3ACDB1">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备注：</w:t>
            </w:r>
          </w:p>
          <w:p w14:paraId="7D4E0C99">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甲方出售给乙方的产品堆放于东至县柯家村矿区</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指定堆场</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内，乙方已现场踏勘确认。甲方供应的产品数量</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暂定</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为</w:t>
            </w:r>
            <w:r>
              <w:rPr>
                <w:rFonts w:hint="default"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吨，合同结算时以现场实际过磅运出经双方共同确认的数量为准。</w:t>
            </w:r>
          </w:p>
        </w:tc>
      </w:tr>
    </w:tbl>
    <w:p w14:paraId="41A3BEF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bookmarkEnd w:id="86"/>
    <w:bookmarkEnd w:id="87"/>
    <w:bookmarkEnd w:id="88"/>
    <w:p w14:paraId="4293810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二、合同期限</w:t>
      </w:r>
    </w:p>
    <w:p w14:paraId="7BE12B6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89" w:name="_Toc4995_WPSOffice_Level1"/>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提货期限自</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年</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月</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日至</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2025</w:t>
      </w:r>
      <w:r>
        <w:rPr>
          <w:rFonts w:hint="default" w:ascii="Times New Roman" w:hAnsi="Times New Roman" w:cs="Times New Roman"/>
          <w:color w:val="000000" w:themeColor="text1"/>
          <w:sz w:val="28"/>
          <w:szCs w:val="28"/>
          <w:highlight w:val="none"/>
          <w14:textFill>
            <w14:solidFill>
              <w14:schemeClr w14:val="tx1"/>
            </w14:solidFill>
          </w14:textFill>
        </w:rPr>
        <w:t>年</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7</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月</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31</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日，乙方具体拉</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运产品</w:t>
      </w:r>
      <w:r>
        <w:rPr>
          <w:rFonts w:hint="default" w:ascii="Times New Roman" w:hAnsi="Times New Roman" w:cs="Times New Roman"/>
          <w:color w:val="000000" w:themeColor="text1"/>
          <w:sz w:val="28"/>
          <w:szCs w:val="28"/>
          <w:highlight w:val="none"/>
          <w14:textFill>
            <w14:solidFill>
              <w14:schemeClr w14:val="tx1"/>
            </w14:solidFill>
          </w14:textFill>
        </w:rPr>
        <w:t>时间以甲方现场通知为准。</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经甲方同意后</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清运周期予以顺延。</w:t>
      </w:r>
    </w:p>
    <w:p w14:paraId="56FD1D2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90" w:name="_Toc29441"/>
      <w:bookmarkStart w:id="91" w:name="_Toc2028"/>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三、交货运输</w:t>
      </w:r>
      <w:bookmarkEnd w:id="89"/>
      <w:bookmarkEnd w:id="90"/>
      <w:bookmarkEnd w:id="91"/>
    </w:p>
    <w:p w14:paraId="3775B3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1</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.交货地点：池州市东至县安徽交控东流新材料有限公司柯家村矿矿区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指定堆场内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p>
    <w:p w14:paraId="0ED632A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2</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.交货办法：</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由甲方负责挖装，乙方汽运自提，</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产品装车过磅后视为交付。</w:t>
      </w:r>
    </w:p>
    <w:p w14:paraId="5829F39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3</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527200C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92" w:name="_Toc7474"/>
      <w:bookmarkStart w:id="93" w:name="_Toc16562_WPSOffice_Level1"/>
      <w:bookmarkStart w:id="94" w:name="_Toc14216"/>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四、</w:t>
      </w:r>
      <w:bookmarkEnd w:id="92"/>
      <w:bookmarkEnd w:id="93"/>
      <w:bookmarkEnd w:id="94"/>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风险提示</w:t>
      </w:r>
    </w:p>
    <w:p w14:paraId="395F98AD">
      <w:pPr>
        <w:keepNext w:val="0"/>
        <w:keepLines w:val="0"/>
        <w:pageBreakBefore w:val="0"/>
        <w:widowControl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pPr>
      <w:bookmarkStart w:id="95" w:name="_Toc7885_WPSOffice_Level1"/>
      <w:bookmarkStart w:id="96" w:name="_Toc29128"/>
      <w:bookmarkStart w:id="97" w:name="_Toc15810"/>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合同执行期内产品销售单价</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不予调整，</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竞得人不得以</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料品</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质量</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问题提出任何异议，</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否则甲方有权没收全部货款</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及其保证金。</w:t>
      </w:r>
    </w:p>
    <w:p w14:paraId="50CAA0A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五、款项结算</w:t>
      </w:r>
      <w:bookmarkEnd w:id="95"/>
      <w:bookmarkEnd w:id="96"/>
      <w:bookmarkEnd w:id="97"/>
    </w:p>
    <w:p w14:paraId="35EF421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98" w:name="_Toc2931"/>
      <w:bookmarkStart w:id="99" w:name="_Toc12153_WPSOffice_Level1"/>
      <w:bookmarkStart w:id="100" w:name="_Toc31267"/>
      <w:r>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t>1</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履约保证金：履约保证金为合同价款的2%，在合同签订前竞得人需全额支付至甲方指定账户，未按要求及时支付的，视为弃权，甲方有权没收乙方缴纳的全部竞买保证金。</w:t>
      </w:r>
    </w:p>
    <w:p w14:paraId="0F793B4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2.货款的支付：合同签订后，乙方之前缴纳的竞买保证金直接转为货款，乙方需在合同签订后</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个工作日内支付合同金额</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100</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的货款计</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大写+小写</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元（含竞买保证金直接转化部分）至甲方指定账户。</w:t>
      </w:r>
    </w:p>
    <w:p w14:paraId="5B9BC8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3.双方结算以甲方场地内地磅的实际称量数据为准，甲、乙双方现场共同监督、签字确认。</w:t>
      </w:r>
    </w:p>
    <w:p w14:paraId="15F6B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4.甲方首次开出已缴纳货款对等的增值税发票，后期原则上于每月结算后开具符合国家规定的增值税发票，若乙方有特殊需求须书面通知甲方，甲方在国家政策允许范围内给予协调。</w:t>
      </w:r>
    </w:p>
    <w:p w14:paraId="17CC0CD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5.完成全部提货后</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7</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天内进行结算，凭甲、乙双方共同确认的过磅单及合同价办理结算手续，对账单须经双方签字盖章确认，甲方在乙方预付货款中直接扣除结算金额，剩余货款及履约保证金原路径无息退回。</w:t>
      </w:r>
    </w:p>
    <w:p w14:paraId="5355698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六、违约责任</w:t>
      </w:r>
      <w:bookmarkEnd w:id="98"/>
      <w:bookmarkEnd w:id="99"/>
      <w:bookmarkEnd w:id="100"/>
    </w:p>
    <w:p w14:paraId="79D6631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101" w:name="_Toc8309"/>
      <w:bookmarkStart w:id="102" w:name="_Toc18090"/>
      <w:bookmarkStart w:id="103" w:name="_Toc10413_WPSOffice_Level1"/>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本期对竞得人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合同执行</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情况进行考核，</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具体情况如下：</w:t>
      </w:r>
    </w:p>
    <w:p w14:paraId="70FEA542">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（1）</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若</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现场标的料品实际数量＜30万吨，竞买人将指定堆场内所有料品清运完成后我公司予以清算，否则公司有权扣除履约保证金及剩余全部货款；现场清运结束后，合同结算数量仍有富余，双方协商是否由我公司继续提供同等品质料品，直至完成合同约定数量（结算量不得超过合同约定数量的 2%）。</w:t>
      </w:r>
    </w:p>
    <w:p w14:paraId="6C48AC54">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若</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现场标的料品实际数量≥30万吨，竞买人在完成合同约定数量的基础上需补交超出部分货款并继续对指定堆场内料品进行清运，直至指定堆场内料品全部清运完成；若客户拒绝执行，则我公司有权扣除竞得人全部履约保证金，并解除合同，同时将其列入黑名单，限制其2个月内不得参与公司开展的其他销售项目。</w:t>
      </w:r>
    </w:p>
    <w:p w14:paraId="117C818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本期对竞得人提货进度履约情况进行考核，具体如下：</w:t>
      </w:r>
    </w:p>
    <w:p w14:paraId="3510809B">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在合同约定的清运时间内：</w:t>
      </w:r>
    </w:p>
    <w:p w14:paraId="6C3D7348">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（1）竞得人完成提货量为合同交易量80%（含）以上时，不视为竞得人违约；</w:t>
      </w:r>
    </w:p>
    <w:p w14:paraId="2565D47C">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竞得人完成提货量为合同交易量50%（含）~80%时，视为竞得人违约，须承担迟滞提货违约金，迟滞提货违约金计算标准：（合同交易量-累计提货量）×2元/吨。迟滞违约金从履约保证金中扣除，保证金不足的乙方需补交；</w:t>
      </w:r>
    </w:p>
    <w:p w14:paraId="0FC1CF8B">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3）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65D433D6">
      <w:pPr>
        <w:keepNext w:val="0"/>
        <w:keepLines w:val="0"/>
        <w:pageBreakBefore w:val="0"/>
        <w:widowControl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因恶劣天气及特殊情况因素影响，导致清运周期内竞得人未按合同数量清运完成，</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经甲方同意后</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清运周期予以顺延。</w:t>
      </w:r>
    </w:p>
    <w:p w14:paraId="3012CC3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zh-TW"/>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cs="Times New Roman"/>
          <w:color w:val="000000" w:themeColor="text1"/>
          <w:sz w:val="28"/>
          <w:szCs w:val="28"/>
          <w:highlight w:val="none"/>
          <w:lang w:val="zh-TW"/>
          <w14:textFill>
            <w14:solidFill>
              <w14:schemeClr w14:val="tx1"/>
            </w14:solidFill>
          </w14:textFill>
        </w:rPr>
        <w:t>乙方人员进入甲方场地违反甲方规章制度或安全管理</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条例造成</w:t>
      </w:r>
      <w:r>
        <w:rPr>
          <w:rFonts w:hint="default" w:ascii="Times New Roman" w:hAnsi="Times New Roman" w:cs="Times New Roman"/>
          <w:color w:val="000000" w:themeColor="text1"/>
          <w:sz w:val="28"/>
          <w:szCs w:val="28"/>
          <w:highlight w:val="none"/>
          <w:lang w:val="zh-TW"/>
          <w14:textFill>
            <w14:solidFill>
              <w14:schemeClr w14:val="tx1"/>
            </w14:solidFill>
          </w14:textFill>
        </w:rPr>
        <w:t>事故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的</w:t>
      </w:r>
      <w:r>
        <w:rPr>
          <w:rFonts w:hint="default" w:ascii="Times New Roman" w:hAnsi="Times New Roman" w:cs="Times New Roman"/>
          <w:color w:val="000000" w:themeColor="text1"/>
          <w:sz w:val="28"/>
          <w:szCs w:val="28"/>
          <w:highlight w:val="none"/>
          <w:lang w:val="zh-TW"/>
          <w14:textFill>
            <w14:solidFill>
              <w14:schemeClr w14:val="tx1"/>
            </w14:solidFill>
          </w14:textFill>
        </w:rPr>
        <w:t>，乙方须承担该事故全部责任，并赔偿</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cs="Times New Roman"/>
          <w:color w:val="000000" w:themeColor="text1"/>
          <w:sz w:val="28"/>
          <w:szCs w:val="28"/>
          <w:highlight w:val="none"/>
          <w:lang w:val="zh-TW"/>
          <w14:textFill>
            <w14:solidFill>
              <w14:schemeClr w14:val="tx1"/>
            </w14:solidFill>
          </w14:textFill>
        </w:rPr>
        <w:t>全部损失。</w:t>
      </w:r>
    </w:p>
    <w:p w14:paraId="4F667D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zh-TW"/>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乙方违约优先在履约保证金中扣除违约金额，履约保证金不足扣除的，可在乙方预付货款中扣除，</w:t>
      </w:r>
      <w:r>
        <w:rPr>
          <w:rFonts w:hint="default" w:ascii="Times New Roman" w:hAnsi="Times New Roman" w:cs="Times New Roman"/>
          <w:b/>
          <w:bCs/>
          <w:color w:val="000000" w:themeColor="text1"/>
          <w:sz w:val="28"/>
          <w:szCs w:val="28"/>
          <w:highlight w:val="none"/>
          <w:lang w:val="zh-TW"/>
          <w14:textFill>
            <w14:solidFill>
              <w14:schemeClr w14:val="tx1"/>
            </w14:solidFill>
          </w14:textFill>
        </w:rPr>
        <w:t>如</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乙方</w:t>
      </w:r>
      <w:r>
        <w:rPr>
          <w:rFonts w:hint="default" w:ascii="Times New Roman" w:hAnsi="Times New Roman" w:cs="Times New Roman"/>
          <w:b/>
          <w:bCs/>
          <w:color w:val="000000" w:themeColor="text1"/>
          <w:sz w:val="28"/>
          <w:szCs w:val="28"/>
          <w:highlight w:val="none"/>
          <w:lang w:val="zh-TW"/>
          <w14:textFill>
            <w14:solidFill>
              <w14:schemeClr w14:val="tx1"/>
            </w14:solidFill>
          </w14:textFill>
        </w:rPr>
        <w:t>支付的</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履约保证金及预付货款余额</w:t>
      </w:r>
      <w:r>
        <w:rPr>
          <w:rFonts w:hint="default" w:ascii="Times New Roman" w:hAnsi="Times New Roman" w:cs="Times New Roman"/>
          <w:b/>
          <w:bCs/>
          <w:color w:val="000000" w:themeColor="text1"/>
          <w:sz w:val="28"/>
          <w:szCs w:val="28"/>
          <w:highlight w:val="none"/>
          <w:lang w:val="zh-TW"/>
          <w14:textFill>
            <w14:solidFill>
              <w14:schemeClr w14:val="tx1"/>
            </w14:solidFill>
          </w14:textFill>
        </w:rPr>
        <w:t>不足以赔偿</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甲</w:t>
      </w:r>
      <w:r>
        <w:rPr>
          <w:rFonts w:hint="default" w:ascii="Times New Roman" w:hAnsi="Times New Roman" w:cs="Times New Roman"/>
          <w:b/>
          <w:bCs/>
          <w:color w:val="000000" w:themeColor="text1"/>
          <w:sz w:val="28"/>
          <w:szCs w:val="28"/>
          <w:highlight w:val="none"/>
          <w:lang w:val="zh-TW"/>
          <w14:textFill>
            <w14:solidFill>
              <w14:schemeClr w14:val="tx1"/>
            </w14:solidFill>
          </w14:textFill>
        </w:rPr>
        <w:t>方损失的，</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乙方</w:t>
      </w:r>
      <w:r>
        <w:rPr>
          <w:rFonts w:hint="default" w:ascii="Times New Roman" w:hAnsi="Times New Roman" w:cs="Times New Roman"/>
          <w:b/>
          <w:bCs/>
          <w:color w:val="000000" w:themeColor="text1"/>
          <w:sz w:val="28"/>
          <w:szCs w:val="28"/>
          <w:highlight w:val="none"/>
          <w:lang w:val="zh-TW"/>
          <w14:textFill>
            <w14:solidFill>
              <w14:schemeClr w14:val="tx1"/>
            </w14:solidFill>
          </w14:textFill>
        </w:rPr>
        <w:t>应</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继续</w:t>
      </w:r>
      <w:r>
        <w:rPr>
          <w:rFonts w:hint="default" w:ascii="Times New Roman" w:hAnsi="Times New Roman" w:cs="Times New Roman"/>
          <w:b/>
          <w:bCs/>
          <w:color w:val="000000" w:themeColor="text1"/>
          <w:sz w:val="28"/>
          <w:szCs w:val="28"/>
          <w:highlight w:val="none"/>
          <w:lang w:val="zh-TW"/>
          <w14:textFill>
            <w14:solidFill>
              <w14:schemeClr w14:val="tx1"/>
            </w14:solidFill>
          </w14:textFill>
        </w:rPr>
        <w:t>赔偿损失。</w:t>
      </w:r>
      <w:r>
        <w:rPr>
          <w:rFonts w:hint="default" w:ascii="Times New Roman" w:hAnsi="Times New Roman" w:cs="Times New Roman"/>
          <w:color w:val="000000" w:themeColor="text1"/>
          <w:sz w:val="28"/>
          <w:szCs w:val="28"/>
          <w:highlight w:val="none"/>
          <w:lang w:val="zh-TW"/>
          <w14:textFill>
            <w14:solidFill>
              <w14:schemeClr w14:val="tx1"/>
            </w14:solidFill>
          </w14:textFill>
        </w:rPr>
        <w:t>损失包括但不限于直接或间接的利润损失、商誉损失、机会损失及为制止违约行为所支付的合理费用（律师费、诉讼费、调查费用、公证费用等）。</w:t>
      </w:r>
    </w:p>
    <w:p w14:paraId="47AB9BF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乙方运输车辆装载</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产品</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后没有过磅的，每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车</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次扣</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万元违约金，</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直接在履约保证金中扣除</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w:t>
      </w:r>
    </w:p>
    <w:p w14:paraId="1768A1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若乙方不能按约定支付履约保证金和预付货款，甲方有权解除合同并取消乙方开户资格。</w:t>
      </w:r>
    </w:p>
    <w:p w14:paraId="7EACBB5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若乙方未通知甲方私自拉料，每次扣除5万元违约金，直接在履约保证金中扣除，甲方有权追加相关赔偿、终止合同，并将依法移交公安机关处置。</w:t>
      </w:r>
    </w:p>
    <w:p w14:paraId="4B7BDCF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.乙方</w:t>
      </w:r>
      <w:r>
        <w:rPr>
          <w:rFonts w:hint="default" w:ascii="Times New Roman" w:hAnsi="Times New Roman" w:cs="Times New Roman"/>
          <w:color w:val="000000" w:themeColor="text1"/>
          <w:sz w:val="28"/>
          <w:szCs w:val="28"/>
          <w:highlight w:val="none"/>
          <w14:textFill>
            <w14:solidFill>
              <w14:schemeClr w14:val="tx1"/>
            </w14:solidFill>
          </w14:textFill>
        </w:rPr>
        <w:t>在甲方指定</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地点</w:t>
      </w:r>
      <w:r>
        <w:rPr>
          <w:rFonts w:hint="default" w:ascii="Times New Roman" w:hAnsi="Times New Roman" w:cs="Times New Roman"/>
          <w:color w:val="000000" w:themeColor="text1"/>
          <w:sz w:val="28"/>
          <w:szCs w:val="28"/>
          <w:highlight w:val="none"/>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按照</w:t>
      </w:r>
      <w:r>
        <w:rPr>
          <w:rFonts w:hint="default" w:ascii="Times New Roman" w:hAnsi="Times New Roman" w:cs="Times New Roman"/>
          <w:color w:val="000000" w:themeColor="text1"/>
          <w:sz w:val="28"/>
          <w:szCs w:val="28"/>
          <w:highlight w:val="none"/>
          <w14:textFill>
            <w14:solidFill>
              <w14:schemeClr w14:val="tx1"/>
            </w14:solidFill>
          </w14:textFill>
        </w:rPr>
        <w:t>甲方要求进行运输，服从甲方现场人员管理，不得</w:t>
      </w:r>
      <w:r>
        <w:rPr>
          <w:rFonts w:hint="default" w:ascii="Times New Roman" w:hAnsi="Times New Roman" w:cs="Times New Roman"/>
          <w:b/>
          <w:bCs/>
          <w:color w:val="000000" w:themeColor="text1"/>
          <w:sz w:val="28"/>
          <w:szCs w:val="28"/>
          <w:highlight w:val="none"/>
          <w14:textFill>
            <w14:solidFill>
              <w14:schemeClr w14:val="tx1"/>
            </w14:solidFill>
          </w14:textFill>
        </w:rPr>
        <w:t>选装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14:textFill>
            <w14:solidFill>
              <w14:schemeClr w14:val="tx1"/>
            </w14:solidFill>
          </w14:textFill>
        </w:rPr>
        <w:t>拒装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错装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，出现上述情况，甲方有权予以1万元/次违约处罚。</w:t>
      </w:r>
    </w:p>
    <w:p w14:paraId="2101F91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000000" w:themeColor="text1"/>
          <w:sz w:val="28"/>
          <w:szCs w:val="28"/>
          <w:highlight w:val="none"/>
          <w:lang w:val="zh-TW"/>
          <w14:textFill>
            <w14:solidFill>
              <w14:schemeClr w14:val="tx1"/>
            </w14:solidFill>
          </w14:textFill>
        </w:rPr>
        <w:t>乙方存在其他违反本合同约定义务的行为，甲方有权要求其支付0.5万元/次的</w:t>
      </w:r>
      <w:r>
        <w:rPr>
          <w:rFonts w:hint="default" w:ascii="Times New Roman" w:hAnsi="Times New Roman" w:cs="Times New Roman"/>
          <w:color w:val="000000" w:themeColor="text1"/>
          <w:sz w:val="28"/>
          <w:szCs w:val="28"/>
          <w:highlight w:val="none"/>
          <w:lang w:val="zh-TW" w:eastAsia="zh-CN"/>
          <w14:textFill>
            <w14:solidFill>
              <w14:schemeClr w14:val="tx1"/>
            </w14:solidFill>
          </w14:textFill>
        </w:rPr>
        <w:t>违约金。</w:t>
      </w:r>
    </w:p>
    <w:p w14:paraId="68C7136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七、协商与裁决</w:t>
      </w:r>
      <w:bookmarkEnd w:id="101"/>
      <w:bookmarkEnd w:id="102"/>
      <w:bookmarkEnd w:id="103"/>
    </w:p>
    <w:p w14:paraId="6855394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1.甲乙双方的任何一方由于不可抗力原因不能履行合同时，应及时用书面方式向对方通报不能完全不履行合同的理由，双方协商解决，减少损失。</w:t>
      </w:r>
    </w:p>
    <w:p w14:paraId="3DC1D3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cs="Times New Roman"/>
          <w:color w:val="000000" w:themeColor="text1"/>
          <w:sz w:val="28"/>
          <w:szCs w:val="28"/>
          <w:highlight w:val="none"/>
          <w14:textFill>
            <w14:solidFill>
              <w14:schemeClr w14:val="tx1"/>
            </w14:solidFill>
          </w14:textFill>
        </w:rPr>
        <w:t>未尽事宜双方友好协商解决。如双方对执行本合同或为本合同有关之条款争执，不能协商解决时，双方均有权向</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甲方所在地</w:t>
      </w:r>
      <w:r>
        <w:rPr>
          <w:rFonts w:hint="default" w:ascii="Times New Roman" w:hAnsi="Times New Roman" w:cs="Times New Roman"/>
          <w:color w:val="000000" w:themeColor="text1"/>
          <w:sz w:val="28"/>
          <w:szCs w:val="28"/>
          <w:highlight w:val="none"/>
          <w14:textFill>
            <w14:solidFill>
              <w14:schemeClr w14:val="tx1"/>
            </w14:solidFill>
          </w14:textFill>
        </w:rPr>
        <w:t>人民法院提起诉讼。</w:t>
      </w:r>
    </w:p>
    <w:p w14:paraId="6FFFC7D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104" w:name="_Toc18847"/>
      <w:bookmarkStart w:id="105" w:name="_Toc30423_WPSOffice_Level1"/>
      <w:bookmarkStart w:id="106" w:name="_Toc2172"/>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八、特别约定</w:t>
      </w:r>
    </w:p>
    <w:p w14:paraId="3A8603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1.甲方出售给乙方的</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产品</w:t>
      </w:r>
      <w:r>
        <w:rPr>
          <w:rFonts w:hint="default" w:ascii="Times New Roman" w:hAnsi="Times New Roman" w:cs="Times New Roman"/>
          <w:color w:val="000000" w:themeColor="text1"/>
          <w:sz w:val="28"/>
          <w:szCs w:val="28"/>
          <w:highlight w:val="none"/>
          <w14:textFill>
            <w14:solidFill>
              <w14:schemeClr w14:val="tx1"/>
            </w14:solidFill>
          </w14:textFill>
        </w:rPr>
        <w:t>以现状为准，乙方签订本合同即表明接受标的物现状，甲方不承担本标的物的瑕疵担保责任。</w:t>
      </w:r>
    </w:p>
    <w:p w14:paraId="7B176D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cs="Times New Roman"/>
          <w:color w:val="000000" w:themeColor="text1"/>
          <w:sz w:val="28"/>
          <w:szCs w:val="28"/>
          <w:highlight w:val="none"/>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因甲方原因造成供货不及时或货源不充足的，乙方向甲方提出合同履约延期申请（纸质文件），甲方视情况予以顺延。</w:t>
      </w:r>
    </w:p>
    <w:p w14:paraId="07BF61D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cs="Times New Roman"/>
          <w:color w:val="000000" w:themeColor="text1"/>
          <w:sz w:val="28"/>
          <w:szCs w:val="28"/>
          <w:highlight w:val="none"/>
          <w14:textFill>
            <w14:solidFill>
              <w14:schemeClr w14:val="tx1"/>
            </w14:solidFill>
          </w14:textFill>
        </w:rPr>
        <w:t>.在装运</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产品期间</w:t>
      </w:r>
      <w:r>
        <w:rPr>
          <w:rFonts w:hint="default" w:ascii="Times New Roman" w:hAnsi="Times New Roman" w:cs="Times New Roman"/>
          <w:color w:val="000000" w:themeColor="text1"/>
          <w:sz w:val="28"/>
          <w:szCs w:val="28"/>
          <w:highlight w:val="none"/>
          <w14:textFill>
            <w14:solidFill>
              <w14:schemeClr w14:val="tx1"/>
            </w14:solidFill>
          </w14:textFill>
        </w:rPr>
        <w:t>，甲乙双方均应派专人到</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产品</w:t>
      </w:r>
      <w:r>
        <w:rPr>
          <w:rFonts w:hint="default" w:ascii="Times New Roman" w:hAnsi="Times New Roman" w:cs="Times New Roman"/>
          <w:color w:val="000000" w:themeColor="text1"/>
          <w:sz w:val="28"/>
          <w:szCs w:val="28"/>
          <w:highlight w:val="none"/>
          <w14:textFill>
            <w14:solidFill>
              <w14:schemeClr w14:val="tx1"/>
            </w14:solidFill>
          </w14:textFill>
        </w:rPr>
        <w:t>堆场，进行现场管理。</w:t>
      </w:r>
    </w:p>
    <w:p w14:paraId="11D279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color w:val="000000" w:themeColor="text1"/>
          <w:sz w:val="28"/>
          <w:szCs w:val="28"/>
          <w:highlight w:val="none"/>
          <w14:textFill>
            <w14:solidFill>
              <w14:schemeClr w14:val="tx1"/>
            </w14:solidFill>
          </w14:textFill>
        </w:rPr>
        <w:t>.乙方</w:t>
      </w:r>
      <w:r>
        <w:rPr>
          <w:rFonts w:hint="default" w:ascii="Times New Roman" w:hAnsi="Times New Roman" w:cs="Times New Roman"/>
          <w:color w:val="000000" w:themeColor="text1"/>
          <w:sz w:val="28"/>
          <w:szCs w:val="28"/>
          <w:highlight w:val="none"/>
          <w:lang w:eastAsia="zh-CN"/>
          <w14:textFill>
            <w14:solidFill>
              <w14:schemeClr w14:val="tx1"/>
            </w14:solidFill>
          </w14:textFill>
        </w:rPr>
        <w:t>或乙方委托第三方到指定地点运输</w:t>
      </w:r>
      <w:r>
        <w:rPr>
          <w:rFonts w:hint="default" w:ascii="Times New Roman" w:hAnsi="Times New Roman" w:cs="Times New Roman"/>
          <w:color w:val="000000" w:themeColor="text1"/>
          <w:sz w:val="28"/>
          <w:szCs w:val="28"/>
          <w:highlight w:val="none"/>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应</w:t>
      </w:r>
      <w:r>
        <w:rPr>
          <w:rFonts w:hint="default" w:ascii="Times New Roman" w:hAnsi="Times New Roman" w:cs="Times New Roman"/>
          <w:color w:val="000000" w:themeColor="text1"/>
          <w:sz w:val="28"/>
          <w:szCs w:val="28"/>
          <w:highlight w:val="none"/>
          <w14:textFill>
            <w14:solidFill>
              <w14:schemeClr w14:val="tx1"/>
            </w14:solidFill>
          </w14:textFill>
        </w:rPr>
        <w:t>确保运输车辆和运输人员具备相应</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资质，禁止无证作业等非法行为。</w:t>
      </w:r>
    </w:p>
    <w:p w14:paraId="37D5E3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5.为便于现场管理，乙方在拉运产品前一天，需以书面或微信、短信形式将运输车辆及相关信息（包括但不限于车牌号、车辆型号、发运公司、运输物品名称）报送至甲方工程部矿山板块负责人处。</w:t>
      </w:r>
    </w:p>
    <w:bookmarkEnd w:id="104"/>
    <w:bookmarkEnd w:id="105"/>
    <w:bookmarkEnd w:id="106"/>
    <w:p w14:paraId="11F1508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107" w:name="_Toc11846"/>
      <w:bookmarkStart w:id="108" w:name="_Toc27827_WPSOffice_Level1"/>
      <w:bookmarkStart w:id="109" w:name="_Toc1089"/>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九、通知与送达</w:t>
      </w:r>
      <w:bookmarkEnd w:id="107"/>
      <w:bookmarkEnd w:id="108"/>
      <w:bookmarkEnd w:id="109"/>
    </w:p>
    <w:p w14:paraId="64CA20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bookmarkStart w:id="110" w:name="_Toc262_WPSOffice_Level1"/>
      <w:r>
        <w:rPr>
          <w:rFonts w:hint="default" w:ascii="Times New Roman" w:hAnsi="Times New Roman" w:cs="Times New Roman"/>
          <w:color w:val="000000" w:themeColor="text1"/>
          <w:sz w:val="28"/>
          <w:szCs w:val="28"/>
          <w:highlight w:val="none"/>
          <w14:textFill>
            <w14:solidFill>
              <w14:schemeClr w14:val="tx1"/>
            </w14:solidFill>
          </w14:textFill>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下</w:t>
      </w:r>
      <w:r>
        <w:rPr>
          <w:rFonts w:hint="default" w:ascii="Times New Roman" w:hAnsi="Times New Roman" w:cs="Times New Roman"/>
          <w:color w:val="000000" w:themeColor="text1"/>
          <w:sz w:val="28"/>
          <w:szCs w:val="28"/>
          <w:highlight w:val="none"/>
          <w14:textFill>
            <w14:solidFill>
              <w14:schemeClr w14:val="tx1"/>
            </w14:solidFill>
          </w14:textFill>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12C7EE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甲方送达地址：</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安徽省池州市东至县东流镇印象东流大酒店二楼安徽交控东流新材料招标采购部；</w:t>
      </w:r>
      <w:r>
        <w:rPr>
          <w:rFonts w:hint="default" w:ascii="Times New Roman" w:hAnsi="Times New Roman" w:cs="Times New Roman"/>
          <w:color w:val="000000" w:themeColor="text1"/>
          <w:sz w:val="28"/>
          <w:szCs w:val="28"/>
          <w:highlight w:val="none"/>
          <w14:textFill>
            <w14:solidFill>
              <w14:schemeClr w14:val="tx1"/>
            </w14:solidFill>
          </w14:textFill>
        </w:rPr>
        <w:t>电子邮箱地址：</w:t>
      </w:r>
      <w:r>
        <w:rPr>
          <w:rFonts w:hint="default" w:ascii="Times New Roman" w:hAnsi="Times New Roman" w:cs="Times New Roman"/>
          <w:color w:val="000000" w:themeColor="text1"/>
          <w:sz w:val="28"/>
          <w:szCs w:val="28"/>
          <w:highlight w:val="none"/>
          <w:u w:val="single"/>
          <w14:textFill>
            <w14:solidFill>
              <w14:schemeClr w14:val="tx1"/>
            </w14:solidFill>
          </w14:textFill>
        </w:rPr>
        <w:t>zcb@jiaokongdlxcl.com</w:t>
      </w:r>
      <w:r>
        <w:rPr>
          <w:rFonts w:hint="default" w:ascii="Times New Roman" w:hAnsi="Times New Roman" w:cs="Times New Roman"/>
          <w:color w:val="000000" w:themeColor="text1"/>
          <w:sz w:val="28"/>
          <w:szCs w:val="28"/>
          <w:highlight w:val="none"/>
          <w:u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电话：</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0566—8019001</w:t>
      </w:r>
      <w:r>
        <w:rPr>
          <w:rFonts w:hint="default" w:ascii="Times New Roman" w:hAnsi="Times New Roman" w:cs="Times New Roman"/>
          <w:color w:val="000000" w:themeColor="text1"/>
          <w:sz w:val="28"/>
          <w:szCs w:val="28"/>
          <w:highlight w:val="none"/>
          <w:u w:val="none"/>
          <w:lang w:val="en-US" w:eastAsia="zh-CN"/>
          <w14:textFill>
            <w14:solidFill>
              <w14:schemeClr w14:val="tx1"/>
            </w14:solidFill>
          </w14:textFill>
        </w:rPr>
        <w:t>。</w:t>
      </w:r>
    </w:p>
    <w:p w14:paraId="5C0ED6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u w:val="singl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乙方送达地址：</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电子邮箱地址：</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电话：</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none"/>
          <w14:textFill>
            <w14:solidFill>
              <w14:schemeClr w14:val="tx1"/>
            </w14:solidFill>
          </w14:textFill>
        </w:rPr>
        <w:t xml:space="preserve"> </w:t>
      </w:r>
    </w:p>
    <w:p w14:paraId="0A6BBC6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pPr>
      <w:bookmarkStart w:id="111" w:name="_Toc26354"/>
      <w:bookmarkStart w:id="112" w:name="_Toc21970"/>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十、其他</w:t>
      </w:r>
      <w:bookmarkEnd w:id="110"/>
      <w:bookmarkEnd w:id="111"/>
      <w:bookmarkEnd w:id="112"/>
    </w:p>
    <w:p w14:paraId="00FDA2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val="zh-TW"/>
          <w14:textFill>
            <w14:solidFill>
              <w14:schemeClr w14:val="tx1"/>
            </w14:solidFill>
          </w14:textFill>
        </w:rPr>
        <w:t>1.</w:t>
      </w:r>
      <w:r>
        <w:rPr>
          <w:rFonts w:hint="default" w:ascii="Times New Roman" w:hAnsi="Times New Roman" w:cs="Times New Roman"/>
          <w:color w:val="000000" w:themeColor="text1"/>
          <w:sz w:val="28"/>
          <w:szCs w:val="28"/>
          <w:highlight w:val="none"/>
          <w14:textFill>
            <w14:solidFill>
              <w14:schemeClr w14:val="tx1"/>
            </w14:solidFill>
          </w14:textFill>
        </w:rPr>
        <w:t>本合同的附件为本合同不可分割的一部分；本合同及其附件内空格部分填写的文字与印刷文字具有同等法律效力。</w:t>
      </w:r>
    </w:p>
    <w:p w14:paraId="32F1AD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val="zh-TW"/>
          <w14:textFill>
            <w14:solidFill>
              <w14:schemeClr w14:val="tx1"/>
            </w14:solidFill>
          </w14:textFill>
        </w:rPr>
        <w:t>2.</w:t>
      </w:r>
      <w:r>
        <w:rPr>
          <w:rFonts w:hint="default" w:ascii="Times New Roman" w:hAnsi="Times New Roman" w:cs="Times New Roman"/>
          <w:color w:val="000000" w:themeColor="text1"/>
          <w:sz w:val="28"/>
          <w:szCs w:val="28"/>
          <w:highlight w:val="none"/>
          <w14:textFill>
            <w14:solidFill>
              <w14:schemeClr w14:val="tx1"/>
            </w14:solidFill>
          </w14:textFill>
        </w:rPr>
        <w:t>本合同一式</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陆</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 xml:space="preserve">份，甲、乙双方各执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叁</w:t>
      </w:r>
      <w:r>
        <w:rPr>
          <w:rFonts w:hint="default" w:ascii="Times New Roman" w:hAnsi="Times New Roman" w:cs="Times New Roman"/>
          <w:color w:val="000000" w:themeColor="text1"/>
          <w:sz w:val="28"/>
          <w:szCs w:val="28"/>
          <w:highlight w:val="none"/>
          <w14:textFill>
            <w14:solidFill>
              <w14:schemeClr w14:val="tx1"/>
            </w14:solidFill>
          </w14:textFill>
        </w:rPr>
        <w:t xml:space="preserve"> 份，具有同等法律效力，双方签字盖章、乙方支付预付货款后生效。甲、乙双方合同履约完成，结算支付完成，相关款项结清后，本合同自动失效。</w:t>
      </w:r>
    </w:p>
    <w:p w14:paraId="2B80519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zh-TW"/>
          <w14:textFill>
            <w14:solidFill>
              <w14:schemeClr w14:val="tx1"/>
            </w14:solidFill>
          </w14:textFill>
        </w:rPr>
        <w:t>3.</w:t>
      </w:r>
      <w:r>
        <w:rPr>
          <w:rFonts w:hint="default" w:ascii="Times New Roman" w:hAnsi="Times New Roman" w:cs="Times New Roman"/>
          <w:color w:val="000000" w:themeColor="text1"/>
          <w:sz w:val="28"/>
          <w:szCs w:val="28"/>
          <w:highlight w:val="none"/>
          <w14:textFill>
            <w14:solidFill>
              <w14:schemeClr w14:val="tx1"/>
            </w14:solidFill>
          </w14:textFill>
        </w:rPr>
        <w:t>合同执行期间，甲、乙双方均不得随意变更或解除合同条款（合同规定可变更或解除条款除外），合同未尽事宜，经双方共同协商，签订补充合同，补充合同与本合同具有同等效力。</w:t>
      </w:r>
    </w:p>
    <w:p w14:paraId="3ED682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以下无正文。</w:t>
      </w:r>
    </w:p>
    <w:tbl>
      <w:tblPr>
        <w:tblStyle w:val="9"/>
        <w:tblW w:w="8711" w:type="dxa"/>
        <w:jc w:val="center"/>
        <w:tblLayout w:type="fixed"/>
        <w:tblCellMar>
          <w:top w:w="0" w:type="dxa"/>
          <w:left w:w="108" w:type="dxa"/>
          <w:bottom w:w="0" w:type="dxa"/>
          <w:right w:w="108" w:type="dxa"/>
        </w:tblCellMar>
      </w:tblPr>
      <w:tblGrid>
        <w:gridCol w:w="4363"/>
        <w:gridCol w:w="4348"/>
      </w:tblGrid>
      <w:tr w14:paraId="53D886D8">
        <w:tblPrEx>
          <w:tblCellMar>
            <w:top w:w="0" w:type="dxa"/>
            <w:left w:w="108" w:type="dxa"/>
            <w:bottom w:w="0" w:type="dxa"/>
            <w:right w:w="108" w:type="dxa"/>
          </w:tblCellMar>
        </w:tblPrEx>
        <w:trPr>
          <w:jc w:val="center"/>
        </w:trPr>
        <w:tc>
          <w:tcPr>
            <w:tcW w:w="4363" w:type="dxa"/>
            <w:noWrap/>
            <w:vAlign w:val="top"/>
          </w:tcPr>
          <w:p w14:paraId="2CDE2B4D">
            <w:pPr>
              <w:bidi w:val="0"/>
              <w:spacing w:line="240" w:lineRule="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甲方（</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公章</w:t>
            </w:r>
            <w:r>
              <w:rPr>
                <w:rFonts w:hint="default" w:ascii="Times New Roman" w:hAnsi="Times New Roman" w:cs="Times New Roman"/>
                <w:color w:val="000000" w:themeColor="text1"/>
                <w:sz w:val="28"/>
                <w:szCs w:val="28"/>
                <w:highlight w:val="none"/>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p>
          <w:p w14:paraId="413AFBB7">
            <w:pPr>
              <w:bidi w:val="0"/>
              <w:spacing w:line="240" w:lineRule="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p>
          <w:p w14:paraId="1AD220CA">
            <w:pPr>
              <w:bidi w:val="0"/>
              <w:spacing w:line="24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法定代表人或委托代理人</w:t>
            </w:r>
          </w:p>
          <w:p w14:paraId="11A3D059">
            <w:pPr>
              <w:bidi w:val="0"/>
              <w:spacing w:line="24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签</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字或盖章</w:t>
            </w:r>
            <w:r>
              <w:rPr>
                <w:rFonts w:hint="default" w:ascii="Times New Roman" w:hAnsi="Times New Roman" w:cs="Times New Roman"/>
                <w:color w:val="000000" w:themeColor="text1"/>
                <w:sz w:val="28"/>
                <w:szCs w:val="28"/>
                <w:highlight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w:t>
            </w:r>
          </w:p>
          <w:p w14:paraId="047CBF44">
            <w:pPr>
              <w:bidi w:val="0"/>
              <w:spacing w:line="240" w:lineRule="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开户银行：</w:t>
            </w:r>
          </w:p>
          <w:p w14:paraId="2889844E">
            <w:pPr>
              <w:bidi w:val="0"/>
              <w:spacing w:line="240" w:lineRule="auto"/>
              <w:rPr>
                <w:rFonts w:hint="default"/>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银行账号：</w:t>
            </w:r>
          </w:p>
          <w:p w14:paraId="0C5B48A0">
            <w:pPr>
              <w:bidi w:val="0"/>
              <w:spacing w:line="24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签订日期：</w:t>
            </w:r>
          </w:p>
        </w:tc>
        <w:tc>
          <w:tcPr>
            <w:tcW w:w="4348" w:type="dxa"/>
            <w:noWrap/>
            <w:vAlign w:val="top"/>
          </w:tcPr>
          <w:p w14:paraId="7A70794E">
            <w:pPr>
              <w:bidi w:val="0"/>
              <w:spacing w:line="240" w:lineRule="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乙方（</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公章</w:t>
            </w:r>
            <w:r>
              <w:rPr>
                <w:rFonts w:hint="default" w:ascii="Times New Roman" w:hAnsi="Times New Roman" w:cs="Times New Roman"/>
                <w:color w:val="000000" w:themeColor="text1"/>
                <w:sz w:val="28"/>
                <w:szCs w:val="28"/>
                <w:highlight w:val="none"/>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p>
          <w:p w14:paraId="6A3FCDBA">
            <w:pPr>
              <w:bidi w:val="0"/>
              <w:spacing w:line="240" w:lineRule="auto"/>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p>
          <w:p w14:paraId="601B96D0">
            <w:pPr>
              <w:bidi w:val="0"/>
              <w:spacing w:line="24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法定代表人或委托代理人</w:t>
            </w:r>
          </w:p>
          <w:p w14:paraId="298644ED">
            <w:pPr>
              <w:bidi w:val="0"/>
              <w:spacing w:line="24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签</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字或盖章</w:t>
            </w:r>
            <w:r>
              <w:rPr>
                <w:rFonts w:hint="default" w:ascii="Times New Roman" w:hAnsi="Times New Roman" w:cs="Times New Roman"/>
                <w:color w:val="000000" w:themeColor="text1"/>
                <w:sz w:val="28"/>
                <w:szCs w:val="28"/>
                <w:highlight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14:textFill>
                  <w14:solidFill>
                    <w14:schemeClr w14:val="tx1"/>
                  </w14:solidFill>
                </w14:textFill>
              </w:rPr>
              <w:t>：</w:t>
            </w:r>
          </w:p>
          <w:p w14:paraId="59560BF1">
            <w:pPr>
              <w:bidi w:val="0"/>
              <w:spacing w:line="240" w:lineRule="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开户银行：</w:t>
            </w:r>
          </w:p>
          <w:p w14:paraId="6120A6AF">
            <w:pPr>
              <w:bidi w:val="0"/>
              <w:spacing w:line="240" w:lineRule="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银行账号：</w:t>
            </w:r>
          </w:p>
          <w:p w14:paraId="001D2CDC">
            <w:pPr>
              <w:bidi w:val="0"/>
              <w:spacing w:line="24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签订日期：</w:t>
            </w:r>
          </w:p>
        </w:tc>
      </w:tr>
    </w:tbl>
    <w:p w14:paraId="3D23F38B">
      <w:pPr>
        <w:rPr>
          <w:rFonts w:hint="default" w:ascii="Times New Roman" w:hAnsi="Times New Roman" w:eastAsia="仿宋_GB2312" w:cs="Times New Roman"/>
          <w:color w:val="000000" w:themeColor="text1"/>
          <w:sz w:val="28"/>
          <w:szCs w:val="28"/>
          <w:highlight w:val="none"/>
          <w14:textFill>
            <w14:solidFill>
              <w14:schemeClr w14:val="tx1"/>
            </w14:solidFill>
          </w14:textFill>
        </w:rPr>
      </w:pPr>
      <w:bookmarkStart w:id="113" w:name="_Toc15575"/>
      <w:bookmarkStart w:id="114" w:name="_Toc31823"/>
      <w:bookmarkStart w:id="115" w:name="_Toc12240"/>
      <w:r>
        <w:rPr>
          <w:rFonts w:hint="default" w:ascii="Times New Roman" w:hAnsi="Times New Roman" w:eastAsia="仿宋_GB2312" w:cs="Times New Roman"/>
          <w:color w:val="000000" w:themeColor="text1"/>
          <w:sz w:val="28"/>
          <w:szCs w:val="28"/>
          <w:highlight w:val="none"/>
          <w14:textFill>
            <w14:solidFill>
              <w14:schemeClr w14:val="tx1"/>
            </w14:solidFill>
          </w14:textFill>
        </w:rPr>
        <w:br w:type="page"/>
      </w:r>
    </w:p>
    <w:p w14:paraId="0E4D7979">
      <w:pPr>
        <w:widowControl/>
        <w:spacing w:line="240" w:lineRule="auto"/>
        <w:jc w:val="left"/>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附件一</w:t>
      </w:r>
      <w:bookmarkEnd w:id="113"/>
      <w:bookmarkEnd w:id="114"/>
      <w:bookmarkEnd w:id="115"/>
    </w:p>
    <w:p w14:paraId="45B0B71C">
      <w:pPr>
        <w:adjustRightInd w:val="0"/>
        <w:snapToGrid w:val="0"/>
        <w:spacing w:line="600" w:lineRule="exact"/>
        <w:jc w:val="cente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pPr>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廉政合同</w:t>
      </w:r>
    </w:p>
    <w:p w14:paraId="286B84E5">
      <w:pPr>
        <w:widowControl w:val="0"/>
        <w:spacing w:after="120" w:afterLines="0" w:afterAutospacing="0"/>
        <w:ind w:left="480" w:leftChars="200" w:firstLine="420" w:firstLineChars="200"/>
        <w:jc w:val="both"/>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4CB1598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根据有关廉政建设的规定，为做党风廉政建设，保证资金的安全和有效使用以及投资效益，</w:t>
      </w:r>
      <w:r>
        <w:rPr>
          <w:rFonts w:hint="default" w:ascii="Times New Roman" w:hAnsi="Times New Roman" w:eastAsia="仿宋" w:cs="Times New Roman"/>
          <w:b w:val="0"/>
          <w:bCs w:val="0"/>
          <w:color w:val="000000" w:themeColor="text1"/>
          <w:sz w:val="28"/>
          <w:szCs w:val="28"/>
          <w:highlight w:val="none"/>
          <w:u w:val="single"/>
          <w:lang w:val="en-US" w:eastAsia="zh-CN"/>
          <w14:textFill>
            <w14:solidFill>
              <w14:schemeClr w14:val="tx1"/>
            </w14:solidFill>
          </w14:textFill>
        </w:rPr>
        <w:t xml:space="preserve"> 安徽交控东流新材料有限公司</w:t>
      </w:r>
      <w:r>
        <w:rPr>
          <w:rFonts w:hint="default" w:ascii="Times New Roman" w:hAnsi="Times New Roman" w:eastAsia="仿宋" w:cs="Times New Roman"/>
          <w:b w:val="0"/>
          <w:bCs w:val="0"/>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(以下简称“甲方”)与</w:t>
      </w:r>
      <w:r>
        <w:rPr>
          <w:rFonts w:hint="default" w:ascii="Times New Roman" w:hAnsi="Times New Roman" w:eastAsia="仿宋"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（以下简称“乙方”)，特订立如下合同。</w:t>
      </w:r>
    </w:p>
    <w:p w14:paraId="5DC3C7E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pPr>
      <w:bookmarkStart w:id="116" w:name="_Toc11222"/>
      <w:bookmarkStart w:id="117" w:name="_Toc5178"/>
      <w:bookmarkStart w:id="118" w:name="_Toc27029"/>
      <w:bookmarkStart w:id="119" w:name="_Toc3145"/>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一、甲、乙双方的权利和义务</w:t>
      </w:r>
      <w:bookmarkEnd w:id="116"/>
      <w:bookmarkEnd w:id="117"/>
      <w:bookmarkEnd w:id="118"/>
      <w:bookmarkEnd w:id="119"/>
    </w:p>
    <w:p w14:paraId="7D827DA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1.严格遵守党的政策规定和国家有关法律法规及有关规定。</w:t>
      </w:r>
    </w:p>
    <w:p w14:paraId="7499011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2.严格执行合同条款，自觉按合同办事。</w:t>
      </w:r>
    </w:p>
    <w:p w14:paraId="7AA82BD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3.双方的业务活动坚持公开、公正、诚信、透明的原则</w:t>
      </w:r>
      <w:r>
        <w:rPr>
          <w:rFonts w:hint="default" w:ascii="Times New Roman" w:hAnsi="Times New Roman" w:eastAsia="仿宋" w:cs="Times New Roman"/>
          <w:b w:val="0"/>
          <w:bCs w:val="0"/>
          <w:color w:val="000000" w:themeColor="text1"/>
          <w:sz w:val="28"/>
          <w:szCs w:val="28"/>
          <w:highlight w:val="none"/>
          <w:lang w:val="zh-TW" w:eastAsia="zh-CN" w:bidi="zh-TW"/>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法律认定的商业秘密和合同文件另有规定除外</w:t>
      </w:r>
      <w:r>
        <w:rPr>
          <w:rFonts w:hint="default" w:ascii="Times New Roman" w:hAnsi="Times New Roman" w:eastAsia="仿宋" w:cs="Times New Roman"/>
          <w:b w:val="0"/>
          <w:bCs w:val="0"/>
          <w:color w:val="000000" w:themeColor="text1"/>
          <w:sz w:val="28"/>
          <w:szCs w:val="28"/>
          <w:highlight w:val="none"/>
          <w:lang w:val="zh-TW" w:eastAsia="zh-CN" w:bidi="zh-TW"/>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，不得损害国家和集体利益，不得违反行业管理规章制度。</w:t>
      </w:r>
    </w:p>
    <w:p w14:paraId="0AEB83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4.建立健全廉政制度，开展廉政教育，设立廉政告示牌，公布举报电话，监督并认真查处违法违纪行为。</w:t>
      </w:r>
    </w:p>
    <w:p w14:paraId="7F61881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5.发现对方在业务活动中有违反廉政规定的行为，有及时提醒对方纠正的权利和义务。</w:t>
      </w:r>
    </w:p>
    <w:p w14:paraId="2455C3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6.发现对方严重违反本合同义务条款的行为，有向其上级有关部门举报、建议给予处理并要求告知处理结果的权利。</w:t>
      </w:r>
    </w:p>
    <w:p w14:paraId="2872DB9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pPr>
      <w:bookmarkStart w:id="120" w:name="_Toc32103"/>
      <w:bookmarkStart w:id="121" w:name="_Toc2456"/>
      <w:bookmarkStart w:id="122" w:name="_Toc16620"/>
      <w:bookmarkStart w:id="123" w:name="_Toc14447"/>
      <w:r>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t>二、甲方的义务</w:t>
      </w:r>
      <w:bookmarkEnd w:id="120"/>
      <w:bookmarkEnd w:id="121"/>
      <w:bookmarkEnd w:id="122"/>
      <w:bookmarkEnd w:id="123"/>
    </w:p>
    <w:p w14:paraId="56ED17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1.甲方及其工作人员不得索要或接受</w:t>
      </w:r>
      <w:r>
        <w:rPr>
          <w:rFonts w:hint="default" w:ascii="Times New Roman" w:hAnsi="Times New Roman" w:eastAsia="仿宋" w:cs="Times New Roman"/>
          <w:b w:val="0"/>
          <w:bCs w:val="0"/>
          <w:color w:val="000000" w:themeColor="text1"/>
          <w:sz w:val="28"/>
          <w:szCs w:val="28"/>
          <w:highlight w:val="none"/>
          <w:lang w:val="en-US" w:eastAsia="zh-CN" w:bidi="zh-TW"/>
          <w14:textFill>
            <w14:solidFill>
              <w14:schemeClr w14:val="tx1"/>
            </w14:solidFill>
          </w14:textFill>
        </w:rPr>
        <w:t>乙方</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的礼金、有价证券和贵重物品，不得让乙方报销任何应由甲方或甲方工作人员个人支付的费用等。</w:t>
      </w:r>
    </w:p>
    <w:p w14:paraId="7B580F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2.甲方工作人员不得参加乙方安排的超标准宴请和娱乐活动；不得接受乙方提供的通讯工具、交通工具和高档办公用品等。</w:t>
      </w:r>
    </w:p>
    <w:p w14:paraId="297E44B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3.甲方及其工作人员不得要求或者接受乙方为其住房装修、婚丧嫁娶活动、配偶子女的工作安排以及出国出境、旅游等提供方便等。</w:t>
      </w:r>
    </w:p>
    <w:p w14:paraId="348CB1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4.甲方工作人员及其配偶、子女不得从事与甲方有关的材料设备供应、工程分包、劳务等经济活动等。</w:t>
      </w:r>
    </w:p>
    <w:p w14:paraId="7242CE5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5.甲方及其工作人员不得以任何理由向乙方推销材料，不得要求乙方购买合同规定外的材料和设备。</w:t>
      </w:r>
    </w:p>
    <w:p w14:paraId="5F8555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6.甲方工作人员要秉公办事，不准营私舞弊，不准利用职权从事各种个人有偿中介活动。</w:t>
      </w:r>
    </w:p>
    <w:p w14:paraId="0ECBF1F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pPr>
      <w:bookmarkStart w:id="124" w:name="_Toc25165"/>
      <w:bookmarkStart w:id="125" w:name="_Toc314"/>
      <w:bookmarkStart w:id="126" w:name="_Toc7587"/>
      <w:bookmarkStart w:id="127" w:name="_Toc8726"/>
      <w:r>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t>三、乙方的义务</w:t>
      </w:r>
      <w:bookmarkEnd w:id="124"/>
      <w:bookmarkEnd w:id="125"/>
      <w:bookmarkEnd w:id="126"/>
      <w:bookmarkEnd w:id="127"/>
    </w:p>
    <w:p w14:paraId="2DABA1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1.乙方不得以任何理由向甲方及其工作人员行贿或馈赠礼金、有价证券、贵重礼品。</w:t>
      </w:r>
    </w:p>
    <w:p w14:paraId="792CF1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2.乙方不得以任何名义为甲方及其工作人员报销应由发包人单位或个人支付的任何费用。</w:t>
      </w:r>
    </w:p>
    <w:p w14:paraId="3484EE6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3.乙方不得以任何理由安排甲方工作人员参加超标准宴请及娱乐活动。</w:t>
      </w:r>
    </w:p>
    <w:p w14:paraId="19B7E62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4.乙方不得为甲方单位和个人购置或提供通讯工具、交通工具和高档办公用品等。</w:t>
      </w:r>
    </w:p>
    <w:p w14:paraId="30925F6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pPr>
      <w:bookmarkStart w:id="128" w:name="_Toc3042"/>
      <w:bookmarkStart w:id="129" w:name="_Toc5553"/>
      <w:bookmarkStart w:id="130" w:name="_Toc15109"/>
      <w:bookmarkStart w:id="131" w:name="_Toc17857"/>
      <w:r>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t>四、违约责任</w:t>
      </w:r>
      <w:bookmarkEnd w:id="128"/>
      <w:bookmarkEnd w:id="129"/>
      <w:bookmarkEnd w:id="130"/>
      <w:bookmarkEnd w:id="131"/>
    </w:p>
    <w:p w14:paraId="3B77D0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1.甲方及其工作人员违反本合同第</w:t>
      </w:r>
      <w:r>
        <w:rPr>
          <w:rFonts w:hint="default" w:ascii="Times New Roman" w:hAnsi="Times New Roman" w:eastAsia="仿宋" w:cs="Times New Roman"/>
          <w:b w:val="0"/>
          <w:bCs w:val="0"/>
          <w:color w:val="000000" w:themeColor="text1"/>
          <w:sz w:val="28"/>
          <w:szCs w:val="28"/>
          <w:highlight w:val="none"/>
          <w:lang w:val="en-US" w:eastAsia="zh-CN" w:bidi="zh-TW"/>
          <w14:textFill>
            <w14:solidFill>
              <w14:schemeClr w14:val="tx1"/>
            </w14:solidFill>
          </w14:textFill>
        </w:rPr>
        <w:t>一</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bidi="zh-TW"/>
          <w14:textFill>
            <w14:solidFill>
              <w14:schemeClr w14:val="tx1"/>
            </w14:solidFill>
          </w14:textFill>
        </w:rPr>
        <w:t>二</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条，按管理权限，依据有关规定给予党纪、政纪或组织处理；涉嫌犯罪的，移交司法机关追究刑事责任；给乙方单位造成经济损失的，应予以赔偿。</w:t>
      </w:r>
    </w:p>
    <w:p w14:paraId="63CA4C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2.乙方及其工作人员违反本合同第</w:t>
      </w:r>
      <w:r>
        <w:rPr>
          <w:rFonts w:hint="default" w:ascii="Times New Roman" w:hAnsi="Times New Roman" w:eastAsia="仿宋" w:cs="Times New Roman"/>
          <w:b w:val="0"/>
          <w:bCs w:val="0"/>
          <w:color w:val="000000" w:themeColor="text1"/>
          <w:sz w:val="28"/>
          <w:szCs w:val="28"/>
          <w:highlight w:val="none"/>
          <w:lang w:val="en-US" w:eastAsia="zh-CN" w:bidi="zh-TW"/>
          <w14:textFill>
            <w14:solidFill>
              <w14:schemeClr w14:val="tx1"/>
            </w14:solidFill>
          </w14:textFill>
        </w:rPr>
        <w:t>一</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bidi="zh-TW"/>
          <w14:textFill>
            <w14:solidFill>
              <w14:schemeClr w14:val="tx1"/>
            </w14:solidFill>
          </w14:textFill>
        </w:rPr>
        <w:t>三</w:t>
      </w:r>
      <w:r>
        <w:rPr>
          <w:rFonts w:hint="default" w:ascii="Times New Roman" w:hAnsi="Times New Roman" w:eastAsia="仿宋" w:cs="Times New Roman"/>
          <w:b w:val="0"/>
          <w:bCs w:val="0"/>
          <w:color w:val="000000" w:themeColor="text1"/>
          <w:sz w:val="28"/>
          <w:szCs w:val="28"/>
          <w:highlight w:val="none"/>
          <w:lang w:val="zh-TW" w:bidi="zh-TW"/>
          <w14:textFill>
            <w14:solidFill>
              <w14:schemeClr w14:val="tx1"/>
            </w14:solidFill>
          </w14:textFill>
        </w:rPr>
        <w:t>条，按管理权限，甲方有权单方面终止合同并没收履约保证金；给甲方单位造成经济损失的，应予以赔偿</w:t>
      </w:r>
      <w:r>
        <w:rPr>
          <w:rFonts w:hint="default" w:ascii="Times New Roman" w:hAnsi="Times New Roman" w:eastAsia="仿宋" w:cs="Times New Roman"/>
          <w:b w:val="0"/>
          <w:bCs w:val="0"/>
          <w:color w:val="000000" w:themeColor="text1"/>
          <w:sz w:val="28"/>
          <w:szCs w:val="28"/>
          <w:highlight w:val="none"/>
          <w:lang w:val="zh-TW" w:eastAsia="zh-CN" w:bidi="zh-TW"/>
          <w14:textFill>
            <w14:solidFill>
              <w14:schemeClr w14:val="tx1"/>
            </w14:solidFill>
          </w14:textFill>
        </w:rPr>
        <w:t>。</w:t>
      </w:r>
    </w:p>
    <w:p w14:paraId="11AF252E">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pP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本合同作为</w:t>
      </w:r>
      <w:r>
        <w:rPr>
          <w:rFonts w:hint="default" w:ascii="Times New Roman" w:hAnsi="Times New Roman" w:eastAsia="仿宋" w:cs="Times New Roman"/>
          <w:b w:val="0"/>
          <w:bCs w:val="0"/>
          <w:color w:val="000000" w:themeColor="text1"/>
          <w:kern w:val="2"/>
          <w:sz w:val="28"/>
          <w:szCs w:val="28"/>
          <w:highlight w:val="none"/>
          <w:lang w:val="en-US" w:eastAsia="zh-CN" w:bidi="ar-SA"/>
          <w14:textFill>
            <w14:solidFill>
              <w14:schemeClr w14:val="tx1"/>
            </w14:solidFill>
          </w14:textFill>
        </w:rPr>
        <w:t>主</w:t>
      </w:r>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合同条款的附件，与</w:t>
      </w:r>
      <w:r>
        <w:rPr>
          <w:rFonts w:hint="default" w:ascii="Times New Roman" w:hAnsi="Times New Roman" w:eastAsia="仿宋" w:cs="Times New Roman"/>
          <w:b w:val="0"/>
          <w:bCs w:val="0"/>
          <w:color w:val="000000" w:themeColor="text1"/>
          <w:kern w:val="2"/>
          <w:sz w:val="28"/>
          <w:szCs w:val="28"/>
          <w:highlight w:val="none"/>
          <w:lang w:val="en-US" w:eastAsia="zh-CN" w:bidi="ar-SA"/>
          <w14:textFill>
            <w14:solidFill>
              <w14:schemeClr w14:val="tx1"/>
            </w14:solidFill>
          </w14:textFill>
        </w:rPr>
        <w:t>主</w:t>
      </w:r>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合同条款具有同等的法律效力，经合同双方盖章后立即生效，至双方业务关系终止后止。</w:t>
      </w:r>
    </w:p>
    <w:p w14:paraId="00CEC2F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pPr>
      <w:bookmarkStart w:id="132" w:name="_Toc8672"/>
      <w:bookmarkStart w:id="133" w:name="_Toc18475"/>
      <w:bookmarkStart w:id="134" w:name="_Toc6711"/>
      <w:bookmarkStart w:id="135" w:name="_Toc7846"/>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六、</w:t>
      </w:r>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本合同一式</w:t>
      </w:r>
      <w:r>
        <w:rPr>
          <w:rFonts w:hint="default" w:ascii="Times New Roman" w:hAnsi="Times New Roman" w:eastAsia="仿宋" w:cs="Times New Roman"/>
          <w:b w:val="0"/>
          <w:bCs w:val="0"/>
          <w:color w:val="000000" w:themeColor="text1"/>
          <w:kern w:val="2"/>
          <w:sz w:val="28"/>
          <w:szCs w:val="28"/>
          <w:highlight w:val="none"/>
          <w:u w:val="single"/>
          <w:lang w:val="en-US" w:eastAsia="zh-CN" w:bidi="ar-SA"/>
          <w14:textFill>
            <w14:solidFill>
              <w14:schemeClr w14:val="tx1"/>
            </w14:solidFill>
          </w14:textFill>
        </w:rPr>
        <w:t>陆</w:t>
      </w:r>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份，</w:t>
      </w:r>
      <w:bookmarkEnd w:id="132"/>
      <w:bookmarkEnd w:id="133"/>
      <w:bookmarkEnd w:id="134"/>
      <w:bookmarkEnd w:id="135"/>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甲、乙双方各执</w:t>
      </w:r>
      <w:r>
        <w:rPr>
          <w:rFonts w:hint="default" w:ascii="Times New Roman" w:hAnsi="Times New Roman" w:eastAsia="仿宋" w:cs="Times New Roman"/>
          <w:b w:val="0"/>
          <w:bCs w:val="0"/>
          <w:color w:val="000000" w:themeColor="text1"/>
          <w:kern w:val="2"/>
          <w:sz w:val="28"/>
          <w:szCs w:val="28"/>
          <w:highlight w:val="none"/>
          <w:u w:val="single"/>
          <w:lang w:val="en-US" w:eastAsia="zh-CN" w:bidi="ar-SA"/>
          <w14:textFill>
            <w14:solidFill>
              <w14:schemeClr w14:val="tx1"/>
            </w14:solidFill>
          </w14:textFill>
        </w:rPr>
        <w:t>叁</w:t>
      </w:r>
      <w:r>
        <w:rPr>
          <w:rFonts w:hint="default" w:ascii="Times New Roman" w:hAnsi="Times New Roman" w:eastAsia="仿宋" w:cs="Times New Roman"/>
          <w:b w:val="0"/>
          <w:bCs w:val="0"/>
          <w:color w:val="000000" w:themeColor="text1"/>
          <w:kern w:val="2"/>
          <w:sz w:val="28"/>
          <w:szCs w:val="28"/>
          <w:highlight w:val="none"/>
          <w:lang w:val="zh-TW" w:eastAsia="zh-CN" w:bidi="ar-SA"/>
          <w14:textFill>
            <w14:solidFill>
              <w14:schemeClr w14:val="tx1"/>
            </w14:solidFill>
          </w14:textFill>
        </w:rPr>
        <w:t>份。</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697DBBF">
        <w:tblPrEx>
          <w:tblCellMar>
            <w:top w:w="0" w:type="dxa"/>
            <w:left w:w="108" w:type="dxa"/>
            <w:bottom w:w="0" w:type="dxa"/>
            <w:right w:w="108" w:type="dxa"/>
          </w:tblCellMar>
        </w:tblPrEx>
        <w:trPr>
          <w:trHeight w:val="1094" w:hRule="atLeast"/>
          <w:jc w:val="center"/>
        </w:trPr>
        <w:tc>
          <w:tcPr>
            <w:tcW w:w="4433" w:type="dxa"/>
            <w:noWrap w:val="0"/>
            <w:vAlign w:val="center"/>
          </w:tcPr>
          <w:p w14:paraId="075994F6">
            <w:pPr>
              <w:adjustRightInd w:val="0"/>
              <w:snapToGrid w:val="0"/>
              <w:spacing w:line="600" w:lineRule="atLeast"/>
              <w:contextualSpacing/>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甲方（</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公章</w:t>
            </w:r>
            <w:r>
              <w:rPr>
                <w:rFonts w:hint="default" w:ascii="Times New Roman" w:hAnsi="Times New Roman" w:eastAsia="华文仿宋" w:cs="Times New Roman"/>
                <w:color w:val="000000" w:themeColor="text1"/>
                <w:sz w:val="28"/>
                <w:szCs w:val="28"/>
                <w:highlight w:val="none"/>
                <w14:textFill>
                  <w14:solidFill>
                    <w14:schemeClr w14:val="tx1"/>
                  </w14:solidFill>
                </w14:textFill>
              </w:rPr>
              <w:t>）：</w:t>
            </w:r>
            <w:r>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t xml:space="preserve">             </w:t>
            </w:r>
          </w:p>
          <w:p w14:paraId="615C5BD5">
            <w:pPr>
              <w:widowControl w:val="0"/>
              <w:spacing w:after="120" w:afterLines="0" w:afterAutospacing="0"/>
              <w:ind w:left="480" w:leftChars="20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01D682F0">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法定代表人或委托代理人</w:t>
            </w:r>
          </w:p>
          <w:p w14:paraId="50541B42">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w:t>
            </w:r>
            <w:r>
              <w:rPr>
                <w:rFonts w:hint="default" w:ascii="Times New Roman" w:hAnsi="Times New Roman" w:eastAsia="华文仿宋" w:cs="Times New Roman"/>
                <w:bCs/>
                <w:color w:val="000000" w:themeColor="text1"/>
                <w:sz w:val="28"/>
                <w:szCs w:val="28"/>
                <w:highlight w:val="none"/>
                <w:lang w:val="en-US" w:eastAsia="zh-CN"/>
                <w14:textFill>
                  <w14:solidFill>
                    <w14:schemeClr w14:val="tx1"/>
                  </w14:solidFill>
                </w14:textFill>
              </w:rPr>
              <w:t>字或盖章</w:t>
            </w: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w:t>
            </w:r>
          </w:p>
          <w:p w14:paraId="4B3CCFD1">
            <w:pPr>
              <w:widowControl w:val="0"/>
              <w:spacing w:after="120" w:afterLines="0" w:afterAutospacing="0"/>
              <w:ind w:left="480" w:leftChars="20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32403E17">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Cs/>
                <w:color w:val="000000" w:themeColor="text1"/>
                <w:kern w:val="2"/>
                <w:sz w:val="28"/>
                <w:szCs w:val="28"/>
                <w:highlight w:val="none"/>
                <w:lang w:val="en-US" w:eastAsia="zh-CN" w:bidi="ar-SA"/>
                <w14:textFill>
                  <w14:solidFill>
                    <w14:schemeClr w14:val="tx1"/>
                  </w14:solidFill>
                </w14:textFill>
              </w:rPr>
              <w:t>签订日期：</w:t>
            </w:r>
          </w:p>
        </w:tc>
        <w:tc>
          <w:tcPr>
            <w:tcW w:w="4366" w:type="dxa"/>
            <w:noWrap w:val="0"/>
            <w:vAlign w:val="center"/>
          </w:tcPr>
          <w:p w14:paraId="1F394A1C">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000000" w:themeColor="text1"/>
                <w:kern w:val="2"/>
                <w:sz w:val="28"/>
                <w:szCs w:val="28"/>
                <w:highlight w:val="none"/>
                <w:u w:val="single"/>
                <w:lang w:val="en-US" w:eastAsia="zh-CN" w:bidi="ar-SA"/>
                <w14:textFill>
                  <w14:solidFill>
                    <w14:schemeClr w14:val="tx1"/>
                  </w14:solidFill>
                </w14:textFill>
              </w:rPr>
            </w:pP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乙方（公章）：</w:t>
            </w:r>
            <w:r>
              <w:rPr>
                <w:rFonts w:hint="default" w:ascii="Times New Roman" w:hAnsi="Times New Roman" w:eastAsia="华文仿宋" w:cs="Times New Roman"/>
                <w:bCs/>
                <w:color w:val="000000" w:themeColor="text1"/>
                <w:kern w:val="2"/>
                <w:sz w:val="28"/>
                <w:szCs w:val="28"/>
                <w:highlight w:val="none"/>
                <w:u w:val="single"/>
                <w:lang w:val="en-US" w:eastAsia="zh-CN" w:bidi="ar-SA"/>
                <w14:textFill>
                  <w14:solidFill>
                    <w14:schemeClr w14:val="tx1"/>
                  </w14:solidFill>
                </w14:textFill>
              </w:rPr>
              <w:t xml:space="preserve">                    </w:t>
            </w:r>
          </w:p>
          <w:p w14:paraId="111CBB7A">
            <w:pPr>
              <w:widowControl w:val="0"/>
              <w:ind w:left="546" w:firstLine="84"/>
              <w:jc w:val="both"/>
              <w:rPr>
                <w:rFonts w:hint="default" w:ascii="Times New Roman" w:hAnsi="Times New Roman" w:eastAsia="华文仿宋" w:cs="Times New Roman"/>
                <w:color w:val="000000" w:themeColor="text1"/>
                <w:spacing w:val="16"/>
                <w:kern w:val="2"/>
                <w:sz w:val="28"/>
                <w:szCs w:val="28"/>
                <w:highlight w:val="none"/>
                <w:lang w:val="en-US" w:eastAsia="zh-CN" w:bidi="ar-SA"/>
                <w14:textFill>
                  <w14:solidFill>
                    <w14:schemeClr w14:val="tx1"/>
                  </w14:solidFill>
                </w14:textFill>
              </w:rPr>
            </w:pPr>
          </w:p>
          <w:p w14:paraId="3B691EE0">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法定代表人或委托代理人</w:t>
            </w:r>
          </w:p>
          <w:p w14:paraId="7BC0D228">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w:t>
            </w:r>
            <w:r>
              <w:rPr>
                <w:rFonts w:hint="default" w:ascii="Times New Roman" w:hAnsi="Times New Roman" w:eastAsia="华文仿宋" w:cs="Times New Roman"/>
                <w:bCs/>
                <w:color w:val="000000" w:themeColor="text1"/>
                <w:sz w:val="28"/>
                <w:szCs w:val="28"/>
                <w:highlight w:val="none"/>
                <w:lang w:val="en-US" w:eastAsia="zh-CN"/>
                <w14:textFill>
                  <w14:solidFill>
                    <w14:schemeClr w14:val="tx1"/>
                  </w14:solidFill>
                </w14:textFill>
              </w:rPr>
              <w:t>字或盖章</w:t>
            </w: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w:t>
            </w:r>
          </w:p>
          <w:p w14:paraId="069AA425">
            <w:pPr>
              <w:widowControl w:val="0"/>
              <w:spacing w:after="120" w:afterLines="0" w:afterAutospacing="0"/>
              <w:ind w:left="480" w:leftChars="20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627EBB10">
            <w:pPr>
              <w:adjustRightInd w:val="0"/>
              <w:snapToGrid w:val="0"/>
              <w:spacing w:line="600" w:lineRule="atLeast"/>
              <w:contextualSpacing/>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签订日期：</w:t>
            </w:r>
          </w:p>
        </w:tc>
      </w:tr>
    </w:tbl>
    <w:p w14:paraId="11A3F0E3">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1C52B2C1">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458493C4">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5EF258E7">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4A1F1049">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369986E3">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01BC3E14">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149ABB38">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68BD60AD">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518CC6F8">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5B1C5EA9">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1936F799">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707165C0">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03D83BF7">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61AA3E43">
      <w:pPr>
        <w:tabs>
          <w:tab w:val="left" w:pos="1575"/>
        </w:tabs>
        <w:spacing w:line="360" w:lineRule="auto"/>
        <w:jc w:val="left"/>
        <w:rPr>
          <w:rFonts w:hint="default" w:ascii="Times New Roman" w:hAnsi="Times New Roman" w:eastAsia="黑体" w:cs="Times New Roman"/>
          <w:color w:val="000000" w:themeColor="text1"/>
          <w:kern w:val="2"/>
          <w:sz w:val="32"/>
          <w:szCs w:val="32"/>
          <w:highlight w:val="none"/>
          <w:lang w:val="zh-TW" w:eastAsia="zh-CN" w:bidi="ar-SA"/>
          <w14:textFill>
            <w14:solidFill>
              <w14:schemeClr w14:val="tx1"/>
            </w14:solidFill>
          </w14:textFill>
        </w:rPr>
      </w:pPr>
    </w:p>
    <w:p w14:paraId="462ED111">
      <w:pPr>
        <w:rPr>
          <w:rFonts w:hint="default" w:ascii="Times New Roman" w:hAnsi="Times New Roman" w:eastAsia="黑体" w:cs="Times New Roman"/>
          <w:color w:val="000000" w:themeColor="text1"/>
          <w:kern w:val="2"/>
          <w:sz w:val="32"/>
          <w:szCs w:val="32"/>
          <w:highlight w:val="none"/>
          <w:lang w:val="zh-TW"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zh-TW" w:eastAsia="zh-CN" w:bidi="ar-SA"/>
          <w14:textFill>
            <w14:solidFill>
              <w14:schemeClr w14:val="tx1"/>
            </w14:solidFill>
          </w14:textFill>
        </w:rPr>
        <w:br w:type="page"/>
      </w:r>
    </w:p>
    <w:p w14:paraId="2484E2D1">
      <w:pPr>
        <w:tabs>
          <w:tab w:val="left" w:pos="1575"/>
        </w:tabs>
        <w:spacing w:line="360" w:lineRule="auto"/>
        <w:jc w:val="left"/>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zh-TW" w:eastAsia="zh-CN" w:bidi="ar-SA"/>
          <w14:textFill>
            <w14:solidFill>
              <w14:schemeClr w14:val="tx1"/>
            </w14:solidFill>
          </w14:textFill>
        </w:rPr>
        <w:t>附件二</w:t>
      </w:r>
    </w:p>
    <w:p w14:paraId="2B3F25A9">
      <w:pPr>
        <w:adjustRightInd w:val="0"/>
        <w:snapToGrid w:val="0"/>
        <w:spacing w:line="600" w:lineRule="exact"/>
        <w:jc w:val="center"/>
        <w:outlineLvl w:val="1"/>
        <w:rPr>
          <w:rFonts w:hint="default" w:ascii="Times New Roman" w:hAnsi="Times New Roman" w:eastAsia="方正小标宋简体" w:cs="Times New Roman"/>
          <w:color w:val="000000" w:themeColor="text1"/>
          <w:sz w:val="32"/>
          <w:szCs w:val="32"/>
          <w:highlight w:val="none"/>
          <w14:textFill>
            <w14:solidFill>
              <w14:schemeClr w14:val="tx1"/>
            </w14:solidFill>
          </w14:textFill>
        </w:rPr>
      </w:pPr>
      <w:bookmarkStart w:id="136" w:name="_Toc25476"/>
      <w:bookmarkStart w:id="137" w:name="_Toc22252"/>
      <w:bookmarkStart w:id="138" w:name="_Toc7018"/>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安全</w:t>
      </w:r>
      <w:r>
        <w:rPr>
          <w:rFonts w:hint="default" w:ascii="Times New Roman" w:hAnsi="Times New Roman" w:eastAsia="方正小标宋简体" w:cs="Times New Roman"/>
          <w:color w:val="000000" w:themeColor="text1"/>
          <w:sz w:val="32"/>
          <w:szCs w:val="32"/>
          <w:highlight w:val="none"/>
          <w:lang w:val="en-US" w:eastAsia="zh-CN"/>
          <w14:textFill>
            <w14:solidFill>
              <w14:schemeClr w14:val="tx1"/>
            </w14:solidFill>
          </w14:textFill>
        </w:rPr>
        <w:t>协议</w:t>
      </w:r>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书</w:t>
      </w:r>
      <w:bookmarkEnd w:id="136"/>
      <w:bookmarkEnd w:id="137"/>
      <w:bookmarkEnd w:id="138"/>
    </w:p>
    <w:p w14:paraId="3A2C59AC">
      <w:pPr>
        <w:widowControl w:val="0"/>
        <w:spacing w:after="120" w:afterLines="0" w:afterAutospacing="0"/>
        <w:ind w:left="480" w:leftChars="200" w:firstLine="420" w:firstLineChars="200"/>
        <w:jc w:val="both"/>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47D629F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甲方：</w:t>
      </w:r>
      <w:r>
        <w:rPr>
          <w:rFonts w:hint="default" w:ascii="Times New Roman" w:hAnsi="Times New Roman" w:eastAsia="仿宋" w:cs="Times New Roman"/>
          <w:bCs/>
          <w:color w:val="000000" w:themeColor="text1"/>
          <w:sz w:val="28"/>
          <w:szCs w:val="28"/>
          <w:highlight w:val="none"/>
          <w:u w:val="single"/>
          <w:lang w:val="en-US" w:eastAsia="zh-CN"/>
          <w14:textFill>
            <w14:solidFill>
              <w14:schemeClr w14:val="tx1"/>
            </w14:solidFill>
          </w14:textFill>
        </w:rPr>
        <w:t>安徽交控东流新材料有限公司</w:t>
      </w:r>
    </w:p>
    <w:p w14:paraId="3F0A26B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000000" w:themeColor="text1"/>
          <w:sz w:val="28"/>
          <w:szCs w:val="28"/>
          <w:highlight w:val="none"/>
          <w:u w:val="single"/>
          <w:lang w:val="en-US"/>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乙方：</w:t>
      </w:r>
      <w:r>
        <w:rPr>
          <w:rFonts w:hint="default" w:ascii="Times New Roman" w:hAnsi="Times New Roman" w:eastAsia="仿宋" w:cs="Times New Roman"/>
          <w:bCs/>
          <w:color w:val="000000" w:themeColor="text1"/>
          <w:sz w:val="28"/>
          <w:szCs w:val="28"/>
          <w:highlight w:val="none"/>
          <w:u w:val="single"/>
          <w:lang w:val="en-US" w:eastAsia="zh-CN"/>
          <w14:textFill>
            <w14:solidFill>
              <w14:schemeClr w14:val="tx1"/>
            </w14:solidFill>
          </w14:textFill>
        </w:rPr>
        <w:t xml:space="preserve">                          </w:t>
      </w:r>
    </w:p>
    <w:p w14:paraId="6966461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000000" w:themeColor="text1"/>
          <w:sz w:val="28"/>
          <w:szCs w:val="28"/>
          <w:highlight w:val="none"/>
          <w14:textFill>
            <w14:solidFill>
              <w14:schemeClr w14:val="tx1"/>
            </w14:solidFill>
          </w14:textFill>
        </w:rPr>
      </w:pPr>
    </w:p>
    <w:p w14:paraId="44F609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为了全面履行甲、乙双方签订的《</w:t>
      </w:r>
      <w:r>
        <w:rPr>
          <w:rFonts w:hint="default" w:ascii="Times New Roman" w:hAnsi="Times New Roman" w:eastAsia="仿宋"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购</w:t>
      </w:r>
      <w:r>
        <w:rPr>
          <w:rFonts w:hint="default" w:ascii="Times New Roman" w:hAnsi="Times New Roman" w:eastAsia="仿宋" w:cs="Times New Roman"/>
          <w:color w:val="000000" w:themeColor="text1"/>
          <w:sz w:val="28"/>
          <w:szCs w:val="28"/>
          <w:highlight w:val="none"/>
          <w14:textFill>
            <w14:solidFill>
              <w14:schemeClr w14:val="tx1"/>
            </w14:solidFill>
          </w14:textFill>
        </w:rPr>
        <w:t>销合同》（合同编号</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highlight w:val="none"/>
          <w14:textFill>
            <w14:solidFill>
              <w14:schemeClr w14:val="tx1"/>
            </w14:solidFill>
          </w14:textFill>
        </w:rPr>
        <w:t>）（以下简称为“主合同”），进一步明确在运输过程中甲、乙双方各自的责任，加强监督管理力度，保护作业人员的人身安全和身体健康，共同维护各方利益，签订本协议。</w:t>
      </w:r>
    </w:p>
    <w:p w14:paraId="08A8CD48">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pPr>
      <w:bookmarkStart w:id="139" w:name="_Toc23146"/>
      <w:bookmarkStart w:id="140" w:name="_Toc296"/>
      <w:bookmarkStart w:id="141" w:name="_Toc27371"/>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第一条</w:t>
      </w: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甲、乙双方共同责任</w:t>
      </w:r>
      <w:bookmarkEnd w:id="139"/>
      <w:bookmarkEnd w:id="140"/>
      <w:bookmarkEnd w:id="141"/>
    </w:p>
    <w:p w14:paraId="2CC93B5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bidi="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bidi="zh-TW"/>
          <w14:textFill>
            <w14:solidFill>
              <w14:schemeClr w14:val="tx1"/>
            </w14:solidFill>
          </w14:textFill>
        </w:rPr>
        <w:t>1.共同遵守国家和地方有关安全生产的法律、法规和规定。</w:t>
      </w:r>
    </w:p>
    <w:p w14:paraId="188C85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bidi="zh-TW"/>
          <w14:textFill>
            <w14:solidFill>
              <w14:schemeClr w14:val="tx1"/>
            </w14:solidFill>
          </w14:textFill>
        </w:rPr>
        <w:t>2.</w:t>
      </w:r>
      <w:r>
        <w:rPr>
          <w:rFonts w:hint="default" w:ascii="Times New Roman" w:hAnsi="Times New Roman" w:eastAsia="仿宋" w:cs="Times New Roman"/>
          <w:color w:val="000000" w:themeColor="text1"/>
          <w:sz w:val="28"/>
          <w:szCs w:val="28"/>
          <w:highlight w:val="none"/>
          <w14:textFill>
            <w14:solidFill>
              <w14:schemeClr w14:val="tx1"/>
            </w14:solidFill>
          </w14:textFill>
        </w:rPr>
        <w:t>抓好安全教育</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严肃安全纪律</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规范安全行为</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净化作业环境。</w:t>
      </w:r>
    </w:p>
    <w:p w14:paraId="32283E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pPr>
      <w:bookmarkStart w:id="142" w:name="_Toc30077"/>
      <w:bookmarkStart w:id="143" w:name="_Toc15370"/>
      <w:bookmarkStart w:id="144" w:name="_Toc9974"/>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第二条</w:t>
      </w: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甲方的具体责任</w:t>
      </w:r>
      <w:bookmarkEnd w:id="142"/>
      <w:bookmarkEnd w:id="143"/>
      <w:bookmarkEnd w:id="144"/>
    </w:p>
    <w:p w14:paraId="35559D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.甲方有监督、纠正乙方人员违章、违规、违纪行为的权力，对不服管理的人员有权命令其停止作业</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直至清场，取消备案</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p>
    <w:p w14:paraId="394805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有权</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对乙方</w:t>
      </w:r>
      <w:r>
        <w:rPr>
          <w:rFonts w:hint="default" w:ascii="Times New Roman" w:hAnsi="Times New Roman" w:eastAsia="仿宋" w:cs="Times New Roman"/>
          <w:color w:val="000000" w:themeColor="text1"/>
          <w:sz w:val="28"/>
          <w:szCs w:val="28"/>
          <w:highlight w:val="none"/>
          <w14:textFill>
            <w14:solidFill>
              <w14:schemeClr w14:val="tx1"/>
            </w14:solidFill>
          </w14:textFill>
        </w:rPr>
        <w:t>车辆、安全防护用品等合格证明进行检查，检查符合后方可进行装车。</w:t>
      </w:r>
    </w:p>
    <w:p w14:paraId="2130DB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.发生伤亡事故按规定报告有关部门。</w:t>
      </w:r>
    </w:p>
    <w:p w14:paraId="669FF7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负责在指定交货地点将合格的</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产品</w:t>
      </w:r>
      <w:r>
        <w:rPr>
          <w:rFonts w:hint="default" w:ascii="Times New Roman" w:hAnsi="Times New Roman" w:eastAsia="仿宋" w:cs="Times New Roman"/>
          <w:color w:val="000000" w:themeColor="text1"/>
          <w:sz w:val="28"/>
          <w:szCs w:val="28"/>
          <w:highlight w:val="none"/>
          <w14:textFill>
            <w14:solidFill>
              <w14:schemeClr w14:val="tx1"/>
            </w14:solidFill>
          </w14:textFill>
        </w:rPr>
        <w:t>装至乙方</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或乙方委托</w:t>
      </w:r>
      <w:r>
        <w:rPr>
          <w:rFonts w:hint="default" w:ascii="Times New Roman" w:hAnsi="Times New Roman" w:eastAsia="仿宋" w:cs="Times New Roman"/>
          <w:color w:val="000000" w:themeColor="text1"/>
          <w:sz w:val="28"/>
          <w:szCs w:val="28"/>
          <w:highlight w:val="none"/>
          <w14:textFill>
            <w14:solidFill>
              <w14:schemeClr w14:val="tx1"/>
            </w14:solidFill>
          </w14:textFill>
        </w:rPr>
        <w:t>运输车辆车厢内，乙方运输过程中的安全、质量风险与甲方无关。</w:t>
      </w:r>
    </w:p>
    <w:p w14:paraId="22A96D7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pPr>
      <w:bookmarkStart w:id="145" w:name="_Toc15060"/>
      <w:bookmarkStart w:id="146" w:name="_Toc7923"/>
      <w:bookmarkStart w:id="147" w:name="_Toc16271"/>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第三条</w:t>
      </w: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乙方的具体责任</w:t>
      </w:r>
      <w:bookmarkEnd w:id="145"/>
      <w:bookmarkEnd w:id="146"/>
      <w:bookmarkEnd w:id="147"/>
    </w:p>
    <w:p w14:paraId="082112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服从甲方现场安全生产领导机构的正确领导</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和监督</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，遵守甲方</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制定</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的安全管理制度</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服从甲方现场指挥统一调度，按时有序进行装车和过磅。</w:t>
      </w:r>
    </w:p>
    <w:p w14:paraId="1C4F986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装运产品</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前</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须</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在甲方处完成车辆备案工作，提交合法运营资料。</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乙方</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若新增承运车辆，须</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先</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向甲方申请备案，甲方批准后方可开始运输。</w:t>
      </w:r>
    </w:p>
    <w:p w14:paraId="5DE353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保证运输车辆车况良好、证照齐全</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乙方车辆</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进场前向门卫报备领取安全承诺书，签字后方可进场，进场后须按照甲方提供规定路线行驶，</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严禁</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随意更改路线。</w:t>
      </w:r>
    </w:p>
    <w:p w14:paraId="1BF554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.车辆进场后需慢行，</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严禁</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超速；现场装料时严格遵守现场指挥人员指挥，</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严禁</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随意倒车与掉头拐弯。</w:t>
      </w:r>
    </w:p>
    <w:p w14:paraId="6B8443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.现场配备安全负责人</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为</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车辆、人员</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配备</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齐全、有效防护设备</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车辆进场后驾驶员不得随意下车，若有特殊情况</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下车</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须戴好</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防护设备用品</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同时应</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保护矿区内设备设施，</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严禁随意</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损坏。</w:t>
      </w:r>
    </w:p>
    <w:p w14:paraId="49FF94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.乙方车辆须在指定区域平整货物、覆盖专业雨布，未覆盖雨布车辆严禁出场。</w:t>
      </w:r>
    </w:p>
    <w:p w14:paraId="2A30D8C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严禁车辆</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超载，超载车辆</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出现任何责任由乙方承担</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p>
    <w:p w14:paraId="57DCFB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.乙方车辆不得在场内及行驶过程出现抛洒、滴漏、掉料等现象，如造成抛洒、滴漏、掉料的，乙方应及时处理和清理</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p>
    <w:p w14:paraId="0D4875A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pPr>
      <w:bookmarkStart w:id="148" w:name="_Toc1341"/>
      <w:bookmarkStart w:id="149" w:name="_Toc20856"/>
      <w:bookmarkStart w:id="150" w:name="_Toc29656"/>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第四条</w:t>
      </w:r>
      <w:r>
        <w:rPr>
          <w:rFonts w:hint="default" w:ascii="Times New Roman" w:hAnsi="Times New Roman" w:eastAsia="黑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违约</w:t>
      </w:r>
      <w:bookmarkEnd w:id="148"/>
      <w:bookmarkEnd w:id="149"/>
      <w:bookmarkEnd w:id="150"/>
    </w:p>
    <w:p w14:paraId="4CE18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1</w:t>
      </w:r>
      <w:r>
        <w:rPr>
          <w:rFonts w:hint="default" w:ascii="Times New Roman" w:hAnsi="Times New Roman" w:eastAsia="仿宋" w:cs="Times New Roman"/>
          <w:color w:val="000000" w:themeColor="text1"/>
          <w:sz w:val="28"/>
          <w:szCs w:val="28"/>
          <w:highlight w:val="none"/>
          <w:lang w:val="zh-TW" w:eastAsia="zh-TW"/>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乙方</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达不到约定条件</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，甲方一经发现，可要求乙方立即进行改正和补充完善，乙方应按甲方要求改正和补充完善，直到符合约定条件。</w:t>
      </w:r>
    </w:p>
    <w:p w14:paraId="2D6D4D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2.若乙方进入甲方场地的人员违反甲方规章制度，</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发生</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安全责任事故</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，乙方</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应</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承担该事故全部责任</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同时</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甲方有权要求乙方支付10万元及以上的违约金。</w:t>
      </w:r>
    </w:p>
    <w:p w14:paraId="59A983A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3.若乙方违反主合同和本合同关于运输安全约定或责任，甲方有权视严重程度，要求乙方支付1</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万元</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-5万元/次</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罚金</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若</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乙方发生</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纠纷出现硬件损坏或人员伤亡</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，乙方</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应</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按市值给予赔偿，并承担相应法律责任。</w:t>
      </w:r>
    </w:p>
    <w:p w14:paraId="723F395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4.</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装运车辆</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驾驶员未按照甲方安全管理要求出现以下行为的，按照500</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元/次处罚，车辆驾驶员如发现2次以上违章行为的，禁止进矿拉运。</w:t>
      </w:r>
    </w:p>
    <w:p w14:paraId="74E0C8C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（1）在矿区道路及矿内出现车速过快、插队、未按规定路线行驶的；</w:t>
      </w:r>
    </w:p>
    <w:p w14:paraId="4CB90A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（2）矿区内</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下车未佩戴安全防护装备</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、不听交通指挥、擅自掉头的；</w:t>
      </w:r>
    </w:p>
    <w:p w14:paraId="64D4EE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（3）未经</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乙方</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安全教育交底、私闯矿区门禁的；</w:t>
      </w:r>
    </w:p>
    <w:p w14:paraId="3A35C6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（4）未按照规定覆盖车辆、洗车池未</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清</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洗轮胎</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w:t>
      </w:r>
    </w:p>
    <w:p w14:paraId="7FAE7AF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（5）</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冲撞甲方工作人员的；</w:t>
      </w:r>
    </w:p>
    <w:p w14:paraId="0E2470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出现其他如</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醉酒、</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打架、冲突等恶劣行为的。</w:t>
      </w:r>
    </w:p>
    <w:p w14:paraId="612773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pPr>
      <w:bookmarkStart w:id="151" w:name="_Toc15099"/>
      <w:bookmarkStart w:id="152" w:name="_Toc12419"/>
      <w:bookmarkStart w:id="153" w:name="_Toc10036"/>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第五条：争议</w:t>
      </w:r>
      <w:bookmarkEnd w:id="151"/>
      <w:bookmarkEnd w:id="152"/>
      <w:bookmarkEnd w:id="153"/>
    </w:p>
    <w:p w14:paraId="29D5CD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本协议未尽事宜，双方协商解决；协商不成时，向</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所在地人民法院提起诉讼。</w:t>
      </w:r>
    </w:p>
    <w:p w14:paraId="731B69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pPr>
      <w:bookmarkStart w:id="154" w:name="_Toc26034"/>
      <w:bookmarkStart w:id="155" w:name="_Toc6161"/>
      <w:bookmarkStart w:id="156" w:name="_Toc17398"/>
      <w:r>
        <w:rPr>
          <w:rFonts w:hint="default" w:ascii="Times New Roman" w:hAnsi="Times New Roman" w:eastAsia="黑体" w:cs="Times New Roman"/>
          <w:b w:val="0"/>
          <w:bCs/>
          <w:color w:val="000000" w:themeColor="text1"/>
          <w:sz w:val="28"/>
          <w:szCs w:val="28"/>
          <w:highlight w:val="none"/>
          <w:lang w:val="zh-TW" w:eastAsia="zh-CN"/>
          <w14:textFill>
            <w14:solidFill>
              <w14:schemeClr w14:val="tx1"/>
            </w14:solidFill>
          </w14:textFill>
        </w:rPr>
        <w:t>第六条：其他</w:t>
      </w:r>
      <w:bookmarkEnd w:id="154"/>
      <w:bookmarkEnd w:id="155"/>
      <w:bookmarkEnd w:id="156"/>
    </w:p>
    <w:p w14:paraId="22852B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本合同一式</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陆</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份，甲</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乙双方各执</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叁</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份，具有同等</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法律</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效力，本协议自双方签字盖章后生效</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zh-TW"/>
          <w14:textFill>
            <w14:solidFill>
              <w14:schemeClr w14:val="tx1"/>
            </w14:solidFill>
          </w14:textFill>
        </w:rPr>
        <w:t>合同期满后失效</w:t>
      </w:r>
      <w:r>
        <w:rPr>
          <w:rFonts w:hint="default" w:ascii="Times New Roman" w:hAnsi="Times New Roman" w:eastAsia="仿宋" w:cs="Times New Roman"/>
          <w:color w:val="000000" w:themeColor="text1"/>
          <w:sz w:val="28"/>
          <w:szCs w:val="28"/>
          <w:highlight w:val="none"/>
          <w:lang w:val="zh-TW" w:eastAsia="zh-CN"/>
          <w14:textFill>
            <w14:solidFill>
              <w14:schemeClr w14:val="tx1"/>
            </w14:solidFill>
          </w14:textFill>
        </w:rPr>
        <w:t>。</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1A6BCEED">
        <w:tblPrEx>
          <w:tblCellMar>
            <w:top w:w="0" w:type="dxa"/>
            <w:left w:w="108" w:type="dxa"/>
            <w:bottom w:w="0" w:type="dxa"/>
            <w:right w:w="108" w:type="dxa"/>
          </w:tblCellMar>
        </w:tblPrEx>
        <w:trPr>
          <w:trHeight w:val="1094" w:hRule="atLeast"/>
          <w:jc w:val="center"/>
        </w:trPr>
        <w:tc>
          <w:tcPr>
            <w:tcW w:w="4433" w:type="dxa"/>
            <w:noWrap w:val="0"/>
            <w:vAlign w:val="center"/>
          </w:tcPr>
          <w:p w14:paraId="44621832">
            <w:pPr>
              <w:adjustRightInd w:val="0"/>
              <w:snapToGrid w:val="0"/>
              <w:spacing w:line="600" w:lineRule="atLeast"/>
              <w:contextualSpacing/>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甲方（</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公章</w:t>
            </w:r>
            <w:r>
              <w:rPr>
                <w:rFonts w:hint="default" w:ascii="Times New Roman" w:hAnsi="Times New Roman" w:eastAsia="华文仿宋" w:cs="Times New Roman"/>
                <w:color w:val="000000" w:themeColor="text1"/>
                <w:sz w:val="28"/>
                <w:szCs w:val="28"/>
                <w:highlight w:val="none"/>
                <w14:textFill>
                  <w14:solidFill>
                    <w14:schemeClr w14:val="tx1"/>
                  </w14:solidFill>
                </w14:textFill>
              </w:rPr>
              <w:t>）：</w:t>
            </w:r>
            <w:r>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t xml:space="preserve">               </w:t>
            </w:r>
          </w:p>
          <w:p w14:paraId="715FA214">
            <w:pPr>
              <w:widowControl w:val="0"/>
              <w:spacing w:after="120" w:afterLines="0" w:afterAutospacing="0"/>
              <w:ind w:left="480" w:leftChars="20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0273FEED">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法定代表人或委托代理人</w:t>
            </w:r>
          </w:p>
          <w:p w14:paraId="5CF6E61B">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w:t>
            </w:r>
            <w:r>
              <w:rPr>
                <w:rFonts w:hint="default" w:ascii="Times New Roman" w:hAnsi="Times New Roman" w:eastAsia="华文仿宋" w:cs="Times New Roman"/>
                <w:bCs/>
                <w:color w:val="000000" w:themeColor="text1"/>
                <w:sz w:val="28"/>
                <w:szCs w:val="28"/>
                <w:highlight w:val="none"/>
                <w:lang w:val="en-US" w:eastAsia="zh-CN"/>
                <w14:textFill>
                  <w14:solidFill>
                    <w14:schemeClr w14:val="tx1"/>
                  </w14:solidFill>
                </w14:textFill>
              </w:rPr>
              <w:t>字或盖章</w:t>
            </w: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w:t>
            </w:r>
          </w:p>
          <w:p w14:paraId="08B92AC2">
            <w:pPr>
              <w:widowControl w:val="0"/>
              <w:spacing w:after="120" w:afterLines="0" w:afterAutospacing="0"/>
              <w:ind w:left="480" w:leftChars="20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6779824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Cs/>
                <w:color w:val="000000" w:themeColor="text1"/>
                <w:kern w:val="2"/>
                <w:sz w:val="28"/>
                <w:szCs w:val="28"/>
                <w:highlight w:val="none"/>
                <w:lang w:val="en-US" w:eastAsia="zh-CN" w:bidi="ar-SA"/>
                <w14:textFill>
                  <w14:solidFill>
                    <w14:schemeClr w14:val="tx1"/>
                  </w14:solidFill>
                </w14:textFill>
              </w:rPr>
              <w:t>签订日期：</w:t>
            </w:r>
          </w:p>
        </w:tc>
        <w:tc>
          <w:tcPr>
            <w:tcW w:w="4366" w:type="dxa"/>
            <w:noWrap w:val="0"/>
            <w:vAlign w:val="center"/>
          </w:tcPr>
          <w:p w14:paraId="41D44421">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000000" w:themeColor="text1"/>
                <w:kern w:val="2"/>
                <w:sz w:val="28"/>
                <w:szCs w:val="28"/>
                <w:highlight w:val="none"/>
                <w:u w:val="single"/>
                <w:lang w:val="en-US" w:eastAsia="zh-CN" w:bidi="ar-SA"/>
                <w14:textFill>
                  <w14:solidFill>
                    <w14:schemeClr w14:val="tx1"/>
                  </w14:solidFill>
                </w14:textFill>
              </w:rPr>
            </w:pP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乙方（公章）：</w:t>
            </w:r>
            <w:r>
              <w:rPr>
                <w:rFonts w:hint="default" w:ascii="Times New Roman" w:hAnsi="Times New Roman" w:eastAsia="华文仿宋" w:cs="Times New Roman"/>
                <w:bCs/>
                <w:color w:val="000000" w:themeColor="text1"/>
                <w:kern w:val="2"/>
                <w:sz w:val="28"/>
                <w:szCs w:val="28"/>
                <w:highlight w:val="none"/>
                <w:u w:val="single"/>
                <w:lang w:val="en-US" w:eastAsia="zh-CN" w:bidi="ar-SA"/>
                <w14:textFill>
                  <w14:solidFill>
                    <w14:schemeClr w14:val="tx1"/>
                  </w14:solidFill>
                </w14:textFill>
              </w:rPr>
              <w:t xml:space="preserve">                          </w:t>
            </w:r>
          </w:p>
          <w:p w14:paraId="73D9F36E">
            <w:pPr>
              <w:widowControl w:val="0"/>
              <w:ind w:left="546" w:firstLine="84"/>
              <w:jc w:val="both"/>
              <w:rPr>
                <w:rFonts w:hint="default" w:ascii="Times New Roman" w:hAnsi="Times New Roman" w:eastAsia="华文仿宋" w:cs="Times New Roman"/>
                <w:color w:val="000000" w:themeColor="text1"/>
                <w:spacing w:val="16"/>
                <w:kern w:val="2"/>
                <w:sz w:val="28"/>
                <w:szCs w:val="28"/>
                <w:highlight w:val="none"/>
                <w:lang w:val="en-US" w:eastAsia="zh-CN" w:bidi="ar-SA"/>
                <w14:textFill>
                  <w14:solidFill>
                    <w14:schemeClr w14:val="tx1"/>
                  </w14:solidFill>
                </w14:textFill>
              </w:rPr>
            </w:pPr>
          </w:p>
          <w:p w14:paraId="562DE60F">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法定代表人或委托代理人</w:t>
            </w:r>
          </w:p>
          <w:p w14:paraId="55A3F4CC">
            <w:pPr>
              <w:adjustRightInd w:val="0"/>
              <w:snapToGrid w:val="0"/>
              <w:spacing w:line="600" w:lineRule="atLeast"/>
              <w:contextualSpacing/>
              <w:rPr>
                <w:rFonts w:hint="default" w:ascii="Times New Roman" w:hAnsi="Times New Roman" w:eastAsia="华文仿宋" w:cs="Times New Roman"/>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w:t>
            </w:r>
            <w:r>
              <w:rPr>
                <w:rFonts w:hint="default" w:ascii="Times New Roman" w:hAnsi="Times New Roman" w:eastAsia="华文仿宋" w:cs="Times New Roman"/>
                <w:bCs/>
                <w:color w:val="000000" w:themeColor="text1"/>
                <w:sz w:val="28"/>
                <w:szCs w:val="28"/>
                <w:highlight w:val="none"/>
                <w:lang w:val="en-US" w:eastAsia="zh-CN"/>
                <w14:textFill>
                  <w14:solidFill>
                    <w14:schemeClr w14:val="tx1"/>
                  </w14:solidFill>
                </w14:textFill>
              </w:rPr>
              <w:t>字或盖章</w:t>
            </w:r>
            <w:r>
              <w:rPr>
                <w:rFonts w:hint="default" w:ascii="Times New Roman" w:hAnsi="Times New Roman" w:eastAsia="华文仿宋"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w:t>
            </w:r>
          </w:p>
          <w:p w14:paraId="1FB4D47C">
            <w:pPr>
              <w:widowControl w:val="0"/>
              <w:spacing w:after="120" w:afterLines="0" w:afterAutospacing="0"/>
              <w:ind w:left="480" w:leftChars="20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3E5236F1">
            <w:pPr>
              <w:adjustRightInd w:val="0"/>
              <w:snapToGrid w:val="0"/>
              <w:spacing w:line="600" w:lineRule="atLeast"/>
              <w:contextualSpacing/>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bCs/>
                <w:color w:val="000000" w:themeColor="text1"/>
                <w:sz w:val="28"/>
                <w:szCs w:val="28"/>
                <w:highlight w:val="none"/>
                <w14:textFill>
                  <w14:solidFill>
                    <w14:schemeClr w14:val="tx1"/>
                  </w14:solidFill>
                </w14:textFill>
              </w:rPr>
              <w:t>签订日期：</w:t>
            </w:r>
          </w:p>
        </w:tc>
      </w:tr>
    </w:tbl>
    <w:p w14:paraId="1545A5BC">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45A56083">
      <w:pPr>
        <w:pStyle w:val="7"/>
        <w:numPr>
          <w:ilvl w:val="0"/>
          <w:numId w:val="0"/>
        </w:numPr>
        <w:jc w:val="cente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6D2E52B0">
      <w:pP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br w:type="page"/>
      </w:r>
    </w:p>
    <w:p w14:paraId="1BE207E4">
      <w:pPr>
        <w:pStyle w:val="3"/>
        <w:bidi w:val="0"/>
        <w:rPr>
          <w:rFonts w:hint="default" w:ascii="Times New Roman" w:hAnsi="Times New Roman" w:eastAsia="黑体" w:cs="Times New Roman"/>
          <w:b w:val="0"/>
          <w:bCs w:val="0"/>
          <w:color w:val="000000" w:themeColor="text1"/>
          <w:sz w:val="32"/>
          <w:szCs w:val="28"/>
          <w:highlight w:val="none"/>
          <w14:textFill>
            <w14:solidFill>
              <w14:schemeClr w14:val="tx1"/>
            </w14:solidFill>
          </w14:textFill>
        </w:rPr>
      </w:pPr>
      <w:bookmarkStart w:id="157" w:name="_Toc2917"/>
      <w:r>
        <w:rPr>
          <w:rFonts w:hint="default" w:ascii="Times New Roman" w:hAnsi="Times New Roman" w:eastAsia="黑体" w:cs="Times New Roman"/>
          <w:b w:val="0"/>
          <w:bCs w:val="0"/>
          <w:color w:val="000000" w:themeColor="text1"/>
          <w:sz w:val="32"/>
          <w:szCs w:val="28"/>
          <w:highlight w:val="none"/>
          <w14:textFill>
            <w14:solidFill>
              <w14:schemeClr w14:val="tx1"/>
            </w14:solidFill>
          </w14:textFill>
        </w:rPr>
        <w:t>第三章 竞价文件</w:t>
      </w:r>
      <w:bookmarkEnd w:id="157"/>
    </w:p>
    <w:p w14:paraId="59B77D47">
      <w:pPr>
        <w:bidi w:val="0"/>
        <w:jc w:val="cente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pPr>
    </w:p>
    <w:p w14:paraId="0B388FF6">
      <w:pPr>
        <w:bidi w:val="0"/>
        <w:jc w:val="cente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安徽交控东流新材料有限公司</w:t>
      </w:r>
    </w:p>
    <w:p w14:paraId="3F5CE67F">
      <w:pPr>
        <w:bidi w:val="0"/>
        <w:jc w:val="cente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202</w:t>
      </w:r>
      <w:r>
        <w:rPr>
          <w:rFonts w:hint="eastAsia" w:ascii="Times New Roman" w:hAnsi="Times New Roman" w:cs="Times New Roman"/>
          <w:b/>
          <w:bCs/>
          <w:color w:val="000000" w:themeColor="text1"/>
          <w:sz w:val="30"/>
          <w:szCs w:val="30"/>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年第</w:t>
      </w:r>
      <w:r>
        <w:rPr>
          <w:rFonts w:hint="eastAsia" w:ascii="Times New Roman" w:hAnsi="Times New Roman" w:cs="Times New Roman"/>
          <w:b/>
          <w:bCs/>
          <w:color w:val="000000" w:themeColor="text1"/>
          <w:sz w:val="30"/>
          <w:szCs w:val="30"/>
          <w:highlight w:val="none"/>
          <w:lang w:val="en-US" w:eastAsia="zh-CN"/>
          <w14:textFill>
            <w14:solidFill>
              <w14:schemeClr w14:val="tx1"/>
            </w14:solidFill>
          </w14:textFill>
        </w:rPr>
        <w:t>二</w:t>
      </w: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期</w:t>
      </w:r>
      <w:r>
        <w:rPr>
          <w:rFonts w:hint="eastAsia" w:ascii="Times New Roman" w:hAnsi="Times New Roman" w:cs="Times New Roman"/>
          <w:b/>
          <w:bCs/>
          <w:color w:val="000000" w:themeColor="text1"/>
          <w:sz w:val="30"/>
          <w:szCs w:val="30"/>
          <w:highlight w:val="none"/>
          <w:lang w:val="en-US" w:eastAsia="zh-CN"/>
          <w14:textFill>
            <w14:solidFill>
              <w14:schemeClr w14:val="tx1"/>
            </w14:solidFill>
          </w14:textFill>
        </w:rPr>
        <w:t>杂石混合料</w:t>
      </w: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竞价销售项目</w:t>
      </w:r>
    </w:p>
    <w:p w14:paraId="4ECCF581">
      <w:pPr>
        <w:pStyle w:val="13"/>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48"/>
          <w:szCs w:val="48"/>
          <w:highlight w:val="none"/>
          <w14:textFill>
            <w14:solidFill>
              <w14:schemeClr w14:val="tx1"/>
            </w14:solidFill>
          </w14:textFill>
        </w:rPr>
        <w:t xml:space="preserve">   </w:t>
      </w:r>
    </w:p>
    <w:p w14:paraId="71CC888C">
      <w:pPr>
        <w:spacing w:before="34"/>
        <w:rPr>
          <w:rFonts w:hint="default" w:ascii="Times New Roman" w:hAnsi="Times New Roman" w:cs="Times New Roman"/>
          <w:color w:val="000000" w:themeColor="text1"/>
          <w:sz w:val="24"/>
          <w:highlight w:val="none"/>
          <w:u w:val="single"/>
          <w14:textFill>
            <w14:solidFill>
              <w14:schemeClr w14:val="tx1"/>
            </w14:solidFill>
          </w14:textFill>
        </w:rPr>
      </w:pPr>
    </w:p>
    <w:p w14:paraId="235E36D7">
      <w:pPr>
        <w:spacing w:before="34" w:line="240" w:lineRule="auto"/>
        <w:jc w:val="cente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t>竞</w:t>
      </w:r>
    </w:p>
    <w:p w14:paraId="67DB2671">
      <w:pPr>
        <w:spacing w:before="34" w:line="240" w:lineRule="auto"/>
        <w:jc w:val="cente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t>价</w:t>
      </w:r>
    </w:p>
    <w:p w14:paraId="2B4FE1F6">
      <w:pPr>
        <w:spacing w:before="34" w:line="240" w:lineRule="auto"/>
        <w:jc w:val="cente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t>文</w:t>
      </w:r>
    </w:p>
    <w:p w14:paraId="1CF1F556">
      <w:pPr>
        <w:spacing w:before="34" w:line="240" w:lineRule="auto"/>
        <w:jc w:val="center"/>
        <w:rPr>
          <w:rFonts w:hint="default" w:ascii="Times New Roman" w:hAnsi="Times New Roman" w:cs="Times New Roman"/>
          <w:color w:val="000000" w:themeColor="text1"/>
          <w:sz w:val="24"/>
          <w:highlight w:val="none"/>
          <w:u w:val="none"/>
          <w14:textFill>
            <w14:solidFill>
              <w14:schemeClr w14:val="tx1"/>
            </w14:solidFill>
          </w14:textFill>
        </w:rPr>
      </w:pPr>
      <w:r>
        <w:rPr>
          <w:rFonts w:hint="default" w:ascii="Times New Roman" w:hAnsi="Times New Roman" w:cs="Times New Roman"/>
          <w:b/>
          <w:bCs/>
          <w:color w:val="000000" w:themeColor="text1"/>
          <w:sz w:val="84"/>
          <w:szCs w:val="84"/>
          <w:highlight w:val="none"/>
          <w:u w:val="none"/>
          <w:lang w:val="en-US" w:eastAsia="zh-CN"/>
          <w14:textFill>
            <w14:solidFill>
              <w14:schemeClr w14:val="tx1"/>
            </w14:solidFill>
          </w14:textFill>
        </w:rPr>
        <w:t>件</w:t>
      </w:r>
    </w:p>
    <w:p w14:paraId="00A8344C">
      <w:pPr>
        <w:spacing w:before="34"/>
        <w:ind w:firstLine="1200" w:firstLineChars="500"/>
        <w:rPr>
          <w:rFonts w:hint="default" w:ascii="Times New Roman" w:hAnsi="Times New Roman" w:cs="Times New Roman"/>
          <w:color w:val="000000" w:themeColor="text1"/>
          <w:sz w:val="24"/>
          <w:highlight w:val="none"/>
          <w14:textFill>
            <w14:solidFill>
              <w14:schemeClr w14:val="tx1"/>
            </w14:solidFill>
          </w14:textFill>
        </w:rPr>
      </w:pPr>
    </w:p>
    <w:p w14:paraId="0DD11258">
      <w:pPr>
        <w:spacing w:before="34"/>
        <w:ind w:firstLine="1200" w:firstLineChars="500"/>
        <w:rPr>
          <w:rFonts w:hint="default" w:ascii="Times New Roman" w:hAnsi="Times New Roman" w:cs="Times New Roman"/>
          <w:color w:val="000000" w:themeColor="text1"/>
          <w:sz w:val="24"/>
          <w:highlight w:val="none"/>
          <w14:textFill>
            <w14:solidFill>
              <w14:schemeClr w14:val="tx1"/>
            </w14:solidFill>
          </w14:textFill>
        </w:rPr>
      </w:pPr>
    </w:p>
    <w:p w14:paraId="43E6B6AD">
      <w:pPr>
        <w:spacing w:before="34"/>
        <w:ind w:firstLine="1200" w:firstLineChars="500"/>
        <w:rPr>
          <w:rFonts w:hint="default" w:ascii="Times New Roman" w:hAnsi="Times New Roman" w:cs="Times New Roman"/>
          <w:color w:val="000000" w:themeColor="text1"/>
          <w:sz w:val="24"/>
          <w:highlight w:val="none"/>
          <w14:textFill>
            <w14:solidFill>
              <w14:schemeClr w14:val="tx1"/>
            </w14:solidFill>
          </w14:textFill>
        </w:rPr>
      </w:pPr>
    </w:p>
    <w:p w14:paraId="37F040DF">
      <w:pPr>
        <w:spacing w:before="34"/>
        <w:rPr>
          <w:rFonts w:hint="default" w:ascii="Times New Roman" w:hAnsi="Times New Roman" w:cs="Times New Roman"/>
          <w:color w:val="000000" w:themeColor="text1"/>
          <w:sz w:val="24"/>
          <w:highlight w:val="none"/>
          <w14:textFill>
            <w14:solidFill>
              <w14:schemeClr w14:val="tx1"/>
            </w14:solidFill>
          </w14:textFill>
        </w:rPr>
      </w:pPr>
    </w:p>
    <w:p w14:paraId="07E067D3">
      <w:pPr>
        <w:spacing w:before="34"/>
        <w:ind w:firstLine="964" w:firstLineChars="300"/>
        <w:rPr>
          <w:rFonts w:hint="default" w:ascii="Times New Roman" w:hAnsi="Times New Roman" w:eastAsia="方正仿宋_GB2312" w:cs="Times New Roman"/>
          <w:b/>
          <w:bCs/>
          <w:color w:val="000000" w:themeColor="text1"/>
          <w:sz w:val="32"/>
          <w:szCs w:val="32"/>
          <w:highlight w:val="none"/>
          <w:u w:val="singl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 xml:space="preserve">竞买人（盖章）： </w:t>
      </w:r>
      <w:r>
        <w:rPr>
          <w:rFonts w:hint="default" w:ascii="Times New Roman" w:hAnsi="Times New Roman" w:eastAsia="方正仿宋_GB2312" w:cs="Times New Roman"/>
          <w:b/>
          <w:bCs/>
          <w:color w:val="000000" w:themeColor="text1"/>
          <w:sz w:val="32"/>
          <w:szCs w:val="32"/>
          <w:highlight w:val="none"/>
          <w:u w:val="single"/>
          <w14:textFill>
            <w14:solidFill>
              <w14:schemeClr w14:val="tx1"/>
            </w14:solidFill>
          </w14:textFill>
        </w:rPr>
        <w:t xml:space="preserve">                        </w:t>
      </w:r>
    </w:p>
    <w:p w14:paraId="1B4EF742">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000000" w:themeColor="text1"/>
          <w:kern w:val="2"/>
          <w:sz w:val="32"/>
          <w:szCs w:val="32"/>
          <w:highlight w:val="none"/>
          <w:u w:val="single"/>
          <w:lang w:val="en-US" w:eastAsia="zh-CN" w:bidi="ar-SA"/>
          <w14:textFill>
            <w14:solidFill>
              <w14:schemeClr w14:val="tx1"/>
            </w14:solidFill>
          </w14:textFill>
        </w:rPr>
      </w:pP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 xml:space="preserve">  时         间： </w:t>
      </w:r>
      <w:r>
        <w:rPr>
          <w:rFonts w:hint="default" w:ascii="Times New Roman" w:hAnsi="Times New Roman" w:eastAsia="方正仿宋_GB2312" w:cs="Times New Roman"/>
          <w:b/>
          <w:bCs/>
          <w:color w:val="000000" w:themeColor="text1"/>
          <w:kern w:val="2"/>
          <w:sz w:val="32"/>
          <w:szCs w:val="32"/>
          <w:highlight w:val="none"/>
          <w:u w:val="single"/>
          <w:lang w:val="en-US" w:eastAsia="zh-CN" w:bidi="ar-SA"/>
          <w14:textFill>
            <w14:solidFill>
              <w14:schemeClr w14:val="tx1"/>
            </w14:solidFill>
          </w14:textFill>
        </w:rPr>
        <w:t xml:space="preserve">          </w:t>
      </w: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年</w:t>
      </w:r>
      <w:r>
        <w:rPr>
          <w:rFonts w:hint="default" w:ascii="Times New Roman" w:hAnsi="Times New Roman" w:eastAsia="方正仿宋_GB2312" w:cs="Times New Roman"/>
          <w:b/>
          <w:bCs/>
          <w:color w:val="000000" w:themeColor="text1"/>
          <w:kern w:val="2"/>
          <w:sz w:val="32"/>
          <w:szCs w:val="32"/>
          <w:highlight w:val="none"/>
          <w:u w:val="single"/>
          <w:lang w:val="en-US" w:eastAsia="zh-CN" w:bidi="ar-SA"/>
          <w14:textFill>
            <w14:solidFill>
              <w14:schemeClr w14:val="tx1"/>
            </w14:solidFill>
          </w14:textFill>
        </w:rPr>
        <w:t xml:space="preserve">    </w:t>
      </w: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月</w:t>
      </w:r>
      <w:r>
        <w:rPr>
          <w:rFonts w:hint="default" w:ascii="Times New Roman" w:hAnsi="Times New Roman" w:eastAsia="方正仿宋_GB2312" w:cs="Times New Roman"/>
          <w:b/>
          <w:bCs/>
          <w:color w:val="000000" w:themeColor="text1"/>
          <w:kern w:val="2"/>
          <w:sz w:val="32"/>
          <w:szCs w:val="32"/>
          <w:highlight w:val="none"/>
          <w:u w:val="single"/>
          <w:lang w:val="en-US" w:eastAsia="zh-CN" w:bidi="ar-SA"/>
          <w14:textFill>
            <w14:solidFill>
              <w14:schemeClr w14:val="tx1"/>
            </w14:solidFill>
          </w14:textFill>
        </w:rPr>
        <w:t xml:space="preserve">    </w:t>
      </w: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日</w:t>
      </w:r>
    </w:p>
    <w:p w14:paraId="47505C24">
      <w:pPr>
        <w:spacing w:before="34"/>
        <w:ind w:firstLine="1200" w:firstLineChars="500"/>
        <w:rPr>
          <w:rFonts w:hint="default" w:ascii="Times New Roman" w:hAnsi="Times New Roman" w:cs="Times New Roman"/>
          <w:color w:val="000000" w:themeColor="text1"/>
          <w:sz w:val="24"/>
          <w:highlight w:val="none"/>
          <w:u w:val="single"/>
          <w14:textFill>
            <w14:solidFill>
              <w14:schemeClr w14:val="tx1"/>
            </w14:solidFill>
          </w14:textFill>
        </w:rPr>
      </w:pPr>
    </w:p>
    <w:p w14:paraId="657CCA31">
      <w:pPr>
        <w:pStyle w:val="2"/>
        <w:jc w:val="left"/>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br w:type="page"/>
      </w:r>
      <w:bookmarkStart w:id="158" w:name="_Toc17163"/>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一、竞买人营业执照复印件</w:t>
      </w:r>
      <w:bookmarkEnd w:id="158"/>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 xml:space="preserve"> </w:t>
      </w:r>
    </w:p>
    <w:p w14:paraId="3B781496">
      <w:pPr>
        <w:pStyle w:val="2"/>
        <w:jc w:val="left"/>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br w:type="page"/>
      </w:r>
      <w:bookmarkStart w:id="159" w:name="_Toc26616"/>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二、竞买人的法定代表人身份证明书</w:t>
      </w:r>
      <w:bookmarkEnd w:id="159"/>
    </w:p>
    <w:p w14:paraId="44ED17F3">
      <w:pPr>
        <w:pStyle w:val="5"/>
        <w:spacing w:before="8"/>
        <w:rPr>
          <w:rFonts w:hint="default" w:ascii="Times New Roman" w:hAnsi="Times New Roman" w:cs="Times New Roman"/>
          <w:b/>
          <w:color w:val="000000" w:themeColor="text1"/>
          <w:sz w:val="31"/>
          <w:highlight w:val="none"/>
          <w14:textFill>
            <w14:solidFill>
              <w14:schemeClr w14:val="tx1"/>
            </w14:solidFill>
          </w14:textFill>
        </w:rPr>
      </w:pPr>
    </w:p>
    <w:p w14:paraId="48A4A996">
      <w:pPr>
        <w:pStyle w:val="4"/>
        <w:spacing w:before="1" w:line="360" w:lineRule="auto"/>
        <w:ind w:left="354" w:right="493"/>
        <w:jc w:val="center"/>
        <w:rPr>
          <w:rFonts w:hint="default" w:ascii="Times New Roman" w:hAnsi="Times New Roman" w:eastAsia="方正小标宋简体" w:cs="Times New Roman"/>
          <w:b w:val="0"/>
          <w:bCs w:val="0"/>
          <w:color w:val="000000" w:themeColor="text1"/>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highlight w:val="none"/>
          <w14:textFill>
            <w14:solidFill>
              <w14:schemeClr w14:val="tx1"/>
            </w14:solidFill>
          </w14:textFill>
        </w:rPr>
        <w:t>法定代表人身份证明书</w:t>
      </w:r>
    </w:p>
    <w:p w14:paraId="07BD2456">
      <w:pPr>
        <w:pStyle w:val="5"/>
        <w:rPr>
          <w:rFonts w:hint="default" w:ascii="Times New Roman" w:hAnsi="Times New Roman" w:cs="Times New Roman"/>
          <w:b/>
          <w:color w:val="000000" w:themeColor="text1"/>
          <w:sz w:val="20"/>
          <w:highlight w:val="none"/>
          <w14:textFill>
            <w14:solidFill>
              <w14:schemeClr w14:val="tx1"/>
            </w14:solidFill>
          </w14:textFill>
        </w:rPr>
      </w:pPr>
    </w:p>
    <w:p w14:paraId="7213A39C">
      <w:pPr>
        <w:pStyle w:val="5"/>
        <w:spacing w:before="10"/>
        <w:rPr>
          <w:rFonts w:hint="default" w:ascii="Times New Roman" w:hAnsi="Times New Roman" w:cs="Times New Roman"/>
          <w:b/>
          <w:color w:val="000000" w:themeColor="text1"/>
          <w:sz w:val="28"/>
          <w:szCs w:val="28"/>
          <w:highlight w:val="none"/>
          <w14:textFill>
            <w14:solidFill>
              <w14:schemeClr w14:val="tx1"/>
            </w14:solidFill>
          </w14:textFill>
        </w:rPr>
      </w:pPr>
    </w:p>
    <w:p w14:paraId="318D5C8A">
      <w:pPr>
        <w:spacing w:line="360" w:lineRule="auto"/>
        <w:ind w:firstLine="560" w:firstLineChars="200"/>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本人</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系</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公司的法定代表人，身份证号码：</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w:t>
      </w:r>
    </w:p>
    <w:p w14:paraId="0377C5D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特此证明。</w:t>
      </w:r>
    </w:p>
    <w:p w14:paraId="62B34A2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000000" w:themeColor="text1"/>
          <w:kern w:val="2"/>
          <w:sz w:val="28"/>
          <w:szCs w:val="28"/>
          <w:highlight w:val="none"/>
          <w:u w:val="single"/>
          <w:lang w:val="en-US" w:eastAsia="zh-CN" w:bidi="ar-SA"/>
          <w14:textFill>
            <w14:solidFill>
              <w14:schemeClr w14:val="tx1"/>
            </w14:solidFill>
          </w14:textFill>
        </w:rPr>
      </w:pPr>
      <w:r>
        <w:rPr>
          <w:rFonts w:hint="default" w:ascii="Times New Roman" w:hAnsi="Times New Roman" w:eastAsia="华文仿宋" w:cs="Times New Roman"/>
          <w:color w:val="000000" w:themeColor="text1"/>
          <w:kern w:val="2"/>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2323F4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000000" w:themeColor="text1"/>
          <w:kern w:val="2"/>
          <w:sz w:val="28"/>
          <w:szCs w:val="28"/>
          <w:highlight w:val="none"/>
          <w:u w:val="single"/>
          <w:lang w:val="en-US" w:eastAsia="zh-CN" w:bidi="ar-SA"/>
          <w14:textFill>
            <w14:solidFill>
              <w14:schemeClr w14:val="tx1"/>
            </w14:solidFill>
          </w14:textFill>
        </w:rPr>
      </w:pPr>
    </w:p>
    <w:p w14:paraId="72EDA4D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393F8035">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6DF9B5E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6A0BBFC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p w14:paraId="78EC2533">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000000" w:themeColor="text1"/>
          <w:kern w:val="2"/>
          <w:sz w:val="28"/>
          <w:szCs w:val="28"/>
          <w:highlight w:val="none"/>
          <w:lang w:val="en-US" w:eastAsia="zh-CN" w:bidi="ar-SA"/>
          <w14:textFill>
            <w14:solidFill>
              <w14:schemeClr w14:val="tx1"/>
            </w14:solidFill>
          </w14:textFill>
        </w:rPr>
      </w:pPr>
    </w:p>
    <w:p w14:paraId="26AD209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28"/>
          <w:szCs w:val="28"/>
          <w:highlight w:val="none"/>
          <w:lang w:val="en-US" w:eastAsia="zh-CN" w:bidi="ar-SA"/>
          <w14:textFill>
            <w14:solidFill>
              <w14:schemeClr w14:val="tx1"/>
            </w14:solidFill>
          </w14:textFill>
        </w:rPr>
        <w:t xml:space="preserve">                           </w:t>
      </w:r>
    </w:p>
    <w:p w14:paraId="1F54E2F1">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000000" w:themeColor="text1"/>
          <w:kern w:val="2"/>
          <w:sz w:val="28"/>
          <w:szCs w:val="28"/>
          <w:highlight w:val="none"/>
          <w:lang w:val="en-US" w:eastAsia="zh-CN" w:bidi="ar-SA"/>
          <w14:textFill>
            <w14:solidFill>
              <w14:schemeClr w14:val="tx1"/>
            </w14:solidFill>
          </w14:textFill>
        </w:rPr>
      </w:pPr>
    </w:p>
    <w:p w14:paraId="7E3371BA">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28"/>
          <w:szCs w:val="28"/>
          <w:highlight w:val="none"/>
          <w:lang w:val="en-US" w:eastAsia="zh-CN" w:bidi="ar-SA"/>
          <w14:textFill>
            <w14:solidFill>
              <w14:schemeClr w14:val="tx1"/>
            </w14:solidFill>
          </w14:textFill>
        </w:rPr>
        <w:t xml:space="preserve">                            </w:t>
      </w:r>
      <w:r>
        <w:rPr>
          <w:rFonts w:hint="default" w:ascii="Times New Roman" w:hAnsi="Times New Roman" w:eastAsia="华文仿宋" w:cs="Times New Roman"/>
          <w:color w:val="000000" w:themeColor="text1"/>
          <w:kern w:val="2"/>
          <w:sz w:val="24"/>
          <w:szCs w:val="24"/>
          <w:highlight w:val="none"/>
          <w:lang w:val="en-US" w:eastAsia="zh-CN" w:bidi="ar-SA"/>
          <w14:textFill>
            <w14:solidFill>
              <w14:schemeClr w14:val="tx1"/>
            </w14:solidFill>
          </w14:textFill>
        </w:rPr>
        <w:t xml:space="preserve"> </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 xml:space="preserve">竞买人（公章）：    </w:t>
      </w:r>
      <w:r>
        <w:rPr>
          <w:rFonts w:hint="default" w:ascii="Times New Roman" w:hAnsi="Times New Roman" w:eastAsia="华文仿宋" w:cs="Times New Roman"/>
          <w:color w:val="000000" w:themeColor="text1"/>
          <w:kern w:val="2"/>
          <w:sz w:val="24"/>
          <w:szCs w:val="24"/>
          <w:highlight w:val="none"/>
          <w:lang w:val="en-US" w:eastAsia="zh-CN" w:bidi="ar-SA"/>
          <w14:textFill>
            <w14:solidFill>
              <w14:schemeClr w14:val="tx1"/>
            </w14:solidFill>
          </w14:textFill>
        </w:rPr>
        <w:t xml:space="preserve">  </w:t>
      </w:r>
    </w:p>
    <w:p w14:paraId="37E08902">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000000" w:themeColor="text1"/>
          <w:kern w:val="2"/>
          <w:sz w:val="16"/>
          <w:szCs w:val="24"/>
          <w:highlight w:val="none"/>
          <w:u w:val="single"/>
          <w:lang w:val="en-US" w:eastAsia="zh-CN" w:bidi="ar-SA"/>
          <w14:textFill>
            <w14:solidFill>
              <w14:schemeClr w14:val="tx1"/>
            </w14:solidFill>
          </w14:textFill>
        </w:rPr>
      </w:pPr>
      <w:r>
        <w:rPr>
          <w:rFonts w:hint="default" w:ascii="Times New Roman" w:hAnsi="Times New Roman" w:eastAsia="华文仿宋" w:cs="Times New Roman"/>
          <w:color w:val="000000" w:themeColor="text1"/>
          <w:kern w:val="2"/>
          <w:sz w:val="24"/>
          <w:szCs w:val="24"/>
          <w:highlight w:val="none"/>
          <w:lang w:val="en-US" w:eastAsia="zh-CN" w:bidi="ar-SA"/>
          <w14:textFill>
            <w14:solidFill>
              <w14:schemeClr w14:val="tx1"/>
            </w14:solidFill>
          </w14:textFill>
        </w:rPr>
        <w:t xml:space="preserve">                                   </w:t>
      </w:r>
      <w: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t xml:space="preserve">   年      月      日  </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 xml:space="preserve">  </w:t>
      </w:r>
    </w:p>
    <w:p w14:paraId="57EE4C38">
      <w:pPr>
        <w:pStyle w:val="5"/>
        <w:rPr>
          <w:rFonts w:hint="default" w:ascii="Times New Roman" w:hAnsi="Times New Roman" w:cs="Times New Roman"/>
          <w:b/>
          <w:color w:val="000000" w:themeColor="text1"/>
          <w:highlight w:val="none"/>
          <w14:textFill>
            <w14:solidFill>
              <w14:schemeClr w14:val="tx1"/>
            </w14:solidFill>
          </w14:textFill>
        </w:rPr>
      </w:pPr>
    </w:p>
    <w:p w14:paraId="3CD4FB1A">
      <w:pPr>
        <w:pStyle w:val="5"/>
        <w:spacing w:before="54"/>
        <w:jc w:val="right"/>
        <w:rPr>
          <w:rFonts w:hint="default" w:ascii="Times New Roman" w:hAnsi="Times New Roman" w:cs="Times New Roman"/>
          <w:color w:val="000000" w:themeColor="text1"/>
          <w:sz w:val="28"/>
          <w:highlight w:val="none"/>
          <w14:textFill>
            <w14:solidFill>
              <w14:schemeClr w14:val="tx1"/>
            </w14:solidFill>
          </w14:textFill>
        </w:rPr>
      </w:pPr>
    </w:p>
    <w:p w14:paraId="146833E6">
      <w:pPr>
        <w:pStyle w:val="5"/>
        <w:spacing w:before="54"/>
        <w:jc w:val="right"/>
        <w:rPr>
          <w:rFonts w:hint="default" w:ascii="Times New Roman" w:hAnsi="Times New Roman" w:cs="Times New Roman"/>
          <w:color w:val="000000" w:themeColor="text1"/>
          <w:sz w:val="28"/>
          <w:highlight w:val="none"/>
          <w14:textFill>
            <w14:solidFill>
              <w14:schemeClr w14:val="tx1"/>
            </w14:solidFill>
          </w14:textFill>
        </w:rPr>
      </w:pPr>
    </w:p>
    <w:p w14:paraId="79C0B7A2">
      <w:pPr>
        <w:pStyle w:val="5"/>
        <w:spacing w:before="54"/>
        <w:jc w:val="right"/>
        <w:rPr>
          <w:rFonts w:hint="default" w:ascii="Times New Roman" w:hAnsi="Times New Roman" w:cs="Times New Roman"/>
          <w:color w:val="000000" w:themeColor="text1"/>
          <w:sz w:val="28"/>
          <w:highlight w:val="none"/>
          <w14:textFill>
            <w14:solidFill>
              <w14:schemeClr w14:val="tx1"/>
            </w14:solidFill>
          </w14:textFill>
        </w:rPr>
      </w:pPr>
    </w:p>
    <w:p w14:paraId="27B437FF">
      <w:pPr>
        <w:pStyle w:val="5"/>
        <w:spacing w:before="54"/>
        <w:jc w:val="right"/>
        <w:rPr>
          <w:rFonts w:hint="default" w:ascii="Times New Roman" w:hAnsi="Times New Roman" w:cs="Times New Roman"/>
          <w:color w:val="000000" w:themeColor="text1"/>
          <w:sz w:val="28"/>
          <w:highlight w:val="none"/>
          <w14:textFill>
            <w14:solidFill>
              <w14:schemeClr w14:val="tx1"/>
            </w14:solidFill>
          </w14:textFill>
        </w:rPr>
      </w:pPr>
    </w:p>
    <w:p w14:paraId="39714283">
      <w:pPr>
        <w:pStyle w:val="5"/>
        <w:spacing w:before="54"/>
        <w:jc w:val="right"/>
        <w:rPr>
          <w:rFonts w:hint="default" w:ascii="Times New Roman" w:hAnsi="Times New Roman" w:cs="Times New Roman"/>
          <w:color w:val="000000" w:themeColor="text1"/>
          <w:sz w:val="28"/>
          <w:highlight w:val="none"/>
          <w14:textFill>
            <w14:solidFill>
              <w14:schemeClr w14:val="tx1"/>
            </w14:solidFill>
          </w14:textFill>
        </w:rPr>
      </w:pPr>
    </w:p>
    <w:p w14:paraId="0DF49EF7">
      <w:pPr>
        <w:spacing w:line="292" w:lineRule="auto"/>
        <w:rPr>
          <w:rFonts w:hint="default" w:ascii="Times New Roman" w:hAnsi="Times New Roman" w:cs="Times New Roman"/>
          <w:color w:val="000000" w:themeColor="text1"/>
          <w:highlight w:val="none"/>
          <w14:textFill>
            <w14:solidFill>
              <w14:schemeClr w14:val="tx1"/>
            </w14:solidFill>
          </w14:textFill>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281A628D">
      <w:pPr>
        <w:pStyle w:val="2"/>
        <w:jc w:val="left"/>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pPr>
      <w:bookmarkStart w:id="160" w:name="_bookmark16"/>
      <w:bookmarkEnd w:id="160"/>
      <w:bookmarkStart w:id="161" w:name="_bookmark17"/>
      <w:bookmarkEnd w:id="161"/>
      <w:bookmarkStart w:id="162" w:name="_bookmark8"/>
      <w:bookmarkEnd w:id="162"/>
      <w:bookmarkStart w:id="163" w:name="_bookmark11"/>
      <w:bookmarkEnd w:id="163"/>
      <w:bookmarkStart w:id="164" w:name="_bookmark12"/>
      <w:bookmarkEnd w:id="164"/>
      <w:bookmarkStart w:id="165" w:name="_bookmark15"/>
      <w:bookmarkEnd w:id="165"/>
      <w:bookmarkStart w:id="166" w:name="_bookmark14"/>
      <w:bookmarkEnd w:id="166"/>
      <w:bookmarkStart w:id="167" w:name="_bookmark10"/>
      <w:bookmarkEnd w:id="167"/>
      <w:bookmarkStart w:id="168" w:name="_TOC_250000"/>
      <w:bookmarkEnd w:id="168"/>
      <w:bookmarkStart w:id="169" w:name="_bookmark9"/>
      <w:bookmarkEnd w:id="169"/>
      <w:bookmarkStart w:id="170" w:name="_Toc32608"/>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三、竞买人的法定代表人授权委托书</w:t>
      </w:r>
      <w:bookmarkEnd w:id="170"/>
    </w:p>
    <w:p w14:paraId="1F87386D">
      <w:pPr>
        <w:pStyle w:val="5"/>
        <w:spacing w:before="12"/>
        <w:rPr>
          <w:rFonts w:hint="default" w:ascii="Times New Roman" w:hAnsi="Times New Roman" w:cs="Times New Roman"/>
          <w:b/>
          <w:color w:val="000000" w:themeColor="text1"/>
          <w:sz w:val="36"/>
          <w:highlight w:val="none"/>
          <w14:textFill>
            <w14:solidFill>
              <w14:schemeClr w14:val="tx1"/>
            </w14:solidFill>
          </w14:textFill>
        </w:rPr>
      </w:pPr>
    </w:p>
    <w:p w14:paraId="5973D383">
      <w:pPr>
        <w:pStyle w:val="2"/>
        <w:spacing w:line="360" w:lineRule="auto"/>
        <w:ind w:right="492"/>
        <w:jc w:val="center"/>
        <w:rPr>
          <w:rFonts w:hint="default" w:ascii="Times New Roman" w:hAnsi="Times New Roman" w:eastAsia="方正小标宋简体" w:cs="Times New Roman"/>
          <w:b w:val="0"/>
          <w:bCs w:val="0"/>
          <w:color w:val="000000" w:themeColor="text1"/>
          <w:sz w:val="32"/>
          <w:szCs w:val="32"/>
          <w:highlight w:val="none"/>
          <w14:textFill>
            <w14:solidFill>
              <w14:schemeClr w14:val="tx1"/>
            </w14:solidFill>
          </w14:textFill>
        </w:rPr>
      </w:pPr>
      <w:bookmarkStart w:id="171" w:name="_Toc28559"/>
      <w:bookmarkStart w:id="172" w:name="_Toc19548"/>
      <w:bookmarkStart w:id="173" w:name="_Toc23178"/>
      <w:bookmarkStart w:id="174" w:name="_Toc8846"/>
      <w:bookmarkStart w:id="175" w:name="_Toc3154"/>
      <w:r>
        <w:rPr>
          <w:rFonts w:hint="default" w:ascii="Times New Roman" w:hAnsi="Times New Roman" w:eastAsia="方正小标宋简体" w:cs="Times New Roman"/>
          <w:b w:val="0"/>
          <w:bCs w:val="0"/>
          <w:color w:val="000000" w:themeColor="text1"/>
          <w:sz w:val="32"/>
          <w:szCs w:val="32"/>
          <w:highlight w:val="none"/>
          <w14:textFill>
            <w14:solidFill>
              <w14:schemeClr w14:val="tx1"/>
            </w14:solidFill>
          </w14:textFill>
        </w:rPr>
        <w:t>法定代表人授权委托书</w:t>
      </w:r>
      <w:bookmarkEnd w:id="171"/>
      <w:bookmarkEnd w:id="172"/>
      <w:bookmarkEnd w:id="173"/>
      <w:bookmarkEnd w:id="174"/>
      <w:bookmarkEnd w:id="175"/>
    </w:p>
    <w:p w14:paraId="3514DEF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lang w:eastAsia="zh-CN"/>
          <w14:textFill>
            <w14:solidFill>
              <w14:schemeClr w14:val="tx1"/>
            </w14:solidFill>
          </w14:textFill>
        </w:rPr>
        <w:t>安徽交控东流新材料有限公司</w:t>
      </w:r>
      <w:r>
        <w:rPr>
          <w:rFonts w:hint="default" w:ascii="Times New Roman" w:hAnsi="Times New Roman" w:eastAsia="华文仿宋" w:cs="Times New Roman"/>
          <w:color w:val="000000" w:themeColor="text1"/>
          <w:sz w:val="28"/>
          <w:szCs w:val="28"/>
          <w:highlight w:val="none"/>
          <w14:textFill>
            <w14:solidFill>
              <w14:schemeClr w14:val="tx1"/>
            </w14:solidFill>
          </w14:textFill>
        </w:rPr>
        <w:t>：</w:t>
      </w:r>
    </w:p>
    <w:p w14:paraId="4D7FE3FB">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本人</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（身份证号：</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）系</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公</w:t>
      </w:r>
    </w:p>
    <w:p w14:paraId="2FF621F2">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司的法定代表人</w:t>
      </w:r>
      <w:r>
        <w:rPr>
          <w:rFonts w:hint="default" w:ascii="Times New Roman" w:hAnsi="Times New Roman" w:eastAsia="华文仿宋" w:cs="Times New Roman"/>
          <w:color w:val="000000" w:themeColor="text1"/>
          <w:spacing w:val="-24"/>
          <w:sz w:val="28"/>
          <w:szCs w:val="28"/>
          <w:highlight w:val="none"/>
          <w14:textFill>
            <w14:solidFill>
              <w14:schemeClr w14:val="tx1"/>
            </w14:solidFill>
          </w14:textFill>
        </w:rPr>
        <w:t>。</w:t>
      </w:r>
      <w:r>
        <w:rPr>
          <w:rFonts w:hint="default" w:ascii="Times New Roman" w:hAnsi="Times New Roman" w:eastAsia="华文仿宋" w:cs="Times New Roman"/>
          <w:color w:val="000000" w:themeColor="text1"/>
          <w:sz w:val="28"/>
          <w:szCs w:val="28"/>
          <w:highlight w:val="none"/>
          <w14:textFill>
            <w14:solidFill>
              <w14:schemeClr w14:val="tx1"/>
            </w14:solidFill>
          </w14:textFill>
        </w:rPr>
        <w:t>委托</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身</w:t>
      </w:r>
      <w:r>
        <w:rPr>
          <w:rFonts w:hint="default" w:ascii="Times New Roman" w:hAnsi="Times New Roman" w:eastAsia="华文仿宋" w:cs="Times New Roman"/>
          <w:color w:val="000000" w:themeColor="text1"/>
          <w:sz w:val="28"/>
          <w:szCs w:val="28"/>
          <w:highlight w:val="none"/>
          <w14:textFill>
            <w14:solidFill>
              <w14:schemeClr w14:val="tx1"/>
            </w14:solidFill>
          </w14:textFill>
        </w:rPr>
        <w:t>份证号</w:t>
      </w:r>
      <w:r>
        <w:rPr>
          <w:rFonts w:hint="default" w:ascii="Times New Roman" w:hAnsi="Times New Roman" w:eastAsia="华文仿宋" w:cs="Times New Roman"/>
          <w:color w:val="000000" w:themeColor="text1"/>
          <w:spacing w:val="-24"/>
          <w:sz w:val="28"/>
          <w:szCs w:val="28"/>
          <w:highlight w:val="none"/>
          <w14:textFill>
            <w14:solidFill>
              <w14:schemeClr w14:val="tx1"/>
            </w14:solidFill>
          </w14:textFill>
        </w:rPr>
        <w:t>：</w:t>
      </w:r>
      <w:r>
        <w:rPr>
          <w:rFonts w:hint="default" w:ascii="Times New Roman" w:hAnsi="Times New Roman" w:eastAsia="华文仿宋" w:cs="Times New Roman"/>
          <w:color w:val="000000" w:themeColor="text1"/>
          <w:spacing w:val="-24"/>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pacing w:val="-24"/>
          <w:sz w:val="28"/>
          <w:szCs w:val="28"/>
          <w:highlight w:val="none"/>
          <w14:textFill>
            <w14:solidFill>
              <w14:schemeClr w14:val="tx1"/>
            </w14:solidFill>
          </w14:textFill>
        </w:rPr>
        <w:t>）为</w:t>
      </w:r>
    </w:p>
    <w:p w14:paraId="292D5E3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7"/>
          <w:sz w:val="28"/>
          <w:szCs w:val="28"/>
          <w:highlight w:val="none"/>
          <w14:textFill>
            <w14:solidFill>
              <w14:schemeClr w14:val="tx1"/>
            </w14:solidFill>
          </w14:textFill>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000000" w:themeColor="text1"/>
          <w:spacing w:val="-8"/>
          <w:sz w:val="28"/>
          <w:szCs w:val="28"/>
          <w:highlight w:val="none"/>
          <w:u w:val="single"/>
          <w14:textFill>
            <w14:solidFill>
              <w14:schemeClr w14:val="tx1"/>
            </w14:solidFill>
          </w14:textFill>
        </w:rPr>
        <w:t>存取竞买保证金、竞价报价等活动，并签署报价函及竞买报价单等文件、洽谈、签订成交通知书、货款结算支付、签</w:t>
      </w:r>
      <w:r>
        <w:rPr>
          <w:rFonts w:hint="default" w:ascii="Times New Roman" w:hAnsi="Times New Roman" w:eastAsia="华文仿宋" w:cs="Times New Roman"/>
          <w:color w:val="000000" w:themeColor="text1"/>
          <w:spacing w:val="-7"/>
          <w:sz w:val="28"/>
          <w:szCs w:val="28"/>
          <w:highlight w:val="none"/>
          <w:u w:val="single"/>
          <w14:textFill>
            <w14:solidFill>
              <w14:schemeClr w14:val="tx1"/>
            </w14:solidFill>
          </w14:textFill>
        </w:rPr>
        <w:t>订买卖合同、产品提货</w:t>
      </w:r>
      <w:r>
        <w:rPr>
          <w:rFonts w:hint="default" w:ascii="Times New Roman" w:hAnsi="Times New Roman" w:eastAsia="华文仿宋" w:cs="Times New Roman"/>
          <w:color w:val="000000" w:themeColor="text1"/>
          <w:spacing w:val="-4"/>
          <w:sz w:val="28"/>
          <w:szCs w:val="28"/>
          <w:highlight w:val="none"/>
          <w14:textFill>
            <w14:solidFill>
              <w14:schemeClr w14:val="tx1"/>
            </w14:solidFill>
          </w14:textFill>
        </w:rPr>
        <w:t>等与交易有关的全部事务，其签名真迹如</w:t>
      </w:r>
      <w:r>
        <w:rPr>
          <w:rFonts w:hint="default" w:ascii="Times New Roman" w:hAnsi="Times New Roman" w:eastAsia="华文仿宋" w:cs="Times New Roman"/>
          <w:color w:val="000000" w:themeColor="text1"/>
          <w:spacing w:val="-10"/>
          <w:sz w:val="28"/>
          <w:szCs w:val="28"/>
          <w:highlight w:val="none"/>
          <w14:textFill>
            <w14:solidFill>
              <w14:schemeClr w14:val="tx1"/>
            </w14:solidFill>
          </w14:textFill>
        </w:rPr>
        <w:t>本授权委托书所示，本人均认可，自愿受其所签署文件约束并承</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担全部法律责任。</w:t>
      </w:r>
    </w:p>
    <w:p w14:paraId="6473DD7D">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4"/>
          <w:sz w:val="28"/>
          <w:szCs w:val="28"/>
          <w:highlight w:val="none"/>
          <w14:textFill>
            <w14:solidFill>
              <w14:schemeClr w14:val="tx1"/>
            </w14:solidFill>
          </w14:textFill>
        </w:rPr>
        <w:t>委托期限：自</w:t>
      </w:r>
      <w:r>
        <w:rPr>
          <w:rFonts w:hint="default" w:ascii="Times New Roman" w:hAnsi="Times New Roman" w:eastAsia="华文仿宋" w:cs="Times New Roman"/>
          <w:color w:val="000000" w:themeColor="text1"/>
          <w:spacing w:val="4"/>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pacing w:val="4"/>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4"/>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年</w:t>
      </w:r>
      <w:r>
        <w:rPr>
          <w:rFonts w:hint="default" w:ascii="Times New Roman" w:hAnsi="Times New Roman" w:eastAsia="华文仿宋" w:cs="Times New Roman"/>
          <w:color w:val="000000" w:themeColor="text1"/>
          <w:spacing w:val="-3"/>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月</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日至</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年</w:t>
      </w:r>
      <w:r>
        <w:rPr>
          <w:rFonts w:hint="default" w:ascii="Times New Roman" w:hAnsi="Times New Roman" w:eastAsia="华文仿宋" w:cs="Times New Roman"/>
          <w:color w:val="000000" w:themeColor="text1"/>
          <w:spacing w:val="-3"/>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月</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日止。</w:t>
      </w:r>
    </w:p>
    <w:p w14:paraId="5F569761">
      <w:pPr>
        <w:pStyle w:val="5"/>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r>
        <w:rPr>
          <w:rFonts w:hint="default" w:ascii="Times New Roman" w:hAnsi="Times New Roman" w:eastAsia="方正仿宋_GB2312" w:cs="Times New Roman"/>
          <w:color w:val="000000" w:themeColor="text1"/>
          <w:sz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4644FDA6">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1F156595">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150668AD">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3CC612EE">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710E65B6">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7F672EF9">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4EDA8884">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77C503FA">
      <w:pPr>
        <w:pStyle w:val="5"/>
        <w:rPr>
          <w:rFonts w:hint="default" w:ascii="Times New Roman" w:hAnsi="Times New Roman" w:cs="Times New Roman"/>
          <w:color w:val="000000" w:themeColor="text1"/>
          <w:sz w:val="28"/>
          <w:szCs w:val="28"/>
          <w:highlight w:val="none"/>
          <w14:textFill>
            <w14:solidFill>
              <w14:schemeClr w14:val="tx1"/>
            </w14:solidFill>
          </w14:textFill>
        </w:rPr>
      </w:pPr>
    </w:p>
    <w:p w14:paraId="03763779">
      <w:pPr>
        <w:spacing w:line="360" w:lineRule="auto"/>
        <w:ind w:firstLine="3510" w:firstLineChars="1500"/>
        <w:jc w:val="left"/>
        <w:rPr>
          <w:rFonts w:hint="default" w:ascii="Times New Roman" w:hAnsi="Times New Roman" w:eastAsia="华文仿宋" w:cs="Times New Roman"/>
          <w:color w:val="000000" w:themeColor="text1"/>
          <w:spacing w:val="-3"/>
          <w:sz w:val="24"/>
          <w:szCs w:val="24"/>
          <w:highlight w:val="none"/>
          <w14:textFill>
            <w14:solidFill>
              <w14:schemeClr w14:val="tx1"/>
            </w14:solidFill>
          </w14:textFill>
        </w:rPr>
      </w:pPr>
      <w:r>
        <w:rPr>
          <w:rFonts w:hint="default" w:ascii="Times New Roman" w:hAnsi="Times New Roman" w:eastAsia="华文仿宋" w:cs="Times New Roman"/>
          <w:color w:val="000000" w:themeColor="text1"/>
          <w:spacing w:val="-3"/>
          <w:sz w:val="24"/>
          <w:szCs w:val="24"/>
          <w:highlight w:val="none"/>
          <w14:textFill>
            <w14:solidFill>
              <w14:schemeClr w14:val="tx1"/>
            </w14:solidFill>
          </w14:textFill>
        </w:rPr>
        <w:t xml:space="preserve">授权单位（公章）： </w:t>
      </w:r>
    </w:p>
    <w:p w14:paraId="6A2D1E4A">
      <w:pPr>
        <w:spacing w:line="360" w:lineRule="auto"/>
        <w:ind w:firstLine="4110" w:firstLineChars="1500"/>
        <w:jc w:val="left"/>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法定代表人（签名）：</w:t>
      </w:r>
    </w:p>
    <w:p w14:paraId="38D65585">
      <w:pPr>
        <w:spacing w:line="360" w:lineRule="auto"/>
        <w:ind w:firstLine="4110" w:firstLineChars="1500"/>
        <w:jc w:val="left"/>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授权委托代理人(签名)：</w:t>
      </w:r>
    </w:p>
    <w:p w14:paraId="41E008C1">
      <w:pPr>
        <w:spacing w:line="360" w:lineRule="auto"/>
        <w:ind w:firstLine="4110" w:firstLineChars="1500"/>
        <w:jc w:val="left"/>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签发日期：</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年</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月</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日</w:t>
      </w:r>
      <w:bookmarkStart w:id="176" w:name="_Toc4371"/>
      <w:r>
        <w:rPr>
          <w:rFonts w:hint="default" w:ascii="Times New Roman" w:hAnsi="Times New Roman" w:eastAsia="方正仿宋_GB2312" w:cs="Times New Roman"/>
          <w:color w:val="000000" w:themeColor="text1"/>
          <w:sz w:val="28"/>
          <w:szCs w:val="28"/>
          <w:highlight w:val="none"/>
          <w14:textFill>
            <w14:solidFill>
              <w14:schemeClr w14:val="tx1"/>
            </w14:solidFill>
          </w14:textFill>
        </w:rPr>
        <w:t xml:space="preserve">    </w:t>
      </w:r>
    </w:p>
    <w:p w14:paraId="5F8809DB">
      <w:pPr>
        <w:pStyle w:val="2"/>
        <w:jc w:val="left"/>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br w:type="page"/>
      </w:r>
      <w:bookmarkStart w:id="177" w:name="_Toc18691"/>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四、竞价交易承诺书</w:t>
      </w:r>
      <w:bookmarkEnd w:id="176"/>
      <w:bookmarkEnd w:id="177"/>
    </w:p>
    <w:p w14:paraId="7CB46993">
      <w:pPr>
        <w:spacing w:before="1" w:line="360" w:lineRule="auto"/>
        <w:ind w:left="354" w:right="493"/>
        <w:jc w:val="center"/>
        <w:rPr>
          <w:rFonts w:hint="default" w:ascii="Times New Roman" w:hAnsi="Times New Roman" w:eastAsia="方正小标宋简体" w:cs="Times New Roman"/>
          <w:b w:val="0"/>
          <w:bCs/>
          <w:color w:val="000000" w:themeColor="text1"/>
          <w:sz w:val="32"/>
          <w:szCs w:val="32"/>
          <w:highlight w:val="none"/>
          <w14:textFill>
            <w14:solidFill>
              <w14:schemeClr w14:val="tx1"/>
            </w14:solidFill>
          </w14:textFill>
        </w:rPr>
      </w:pPr>
    </w:p>
    <w:p w14:paraId="3C4CCAAA">
      <w:pPr>
        <w:spacing w:before="1" w:line="360" w:lineRule="auto"/>
        <w:ind w:left="354" w:right="493"/>
        <w:jc w:val="center"/>
        <w:rPr>
          <w:rFonts w:hint="default" w:ascii="Times New Roman" w:hAnsi="Times New Roman" w:eastAsia="方正小标宋简体"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highlight w:val="none"/>
          <w14:textFill>
            <w14:solidFill>
              <w14:schemeClr w14:val="tx1"/>
            </w14:solidFill>
          </w14:textFill>
        </w:rPr>
        <w:t>竞价交易承诺书</w:t>
      </w:r>
    </w:p>
    <w:p w14:paraId="436660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000000" w:themeColor="text1"/>
          <w:sz w:val="28"/>
          <w:szCs w:val="28"/>
          <w:highlight w:val="none"/>
          <w:u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u w:val="none"/>
          <w:lang w:eastAsia="zh-CN"/>
          <w14:textFill>
            <w14:solidFill>
              <w14:schemeClr w14:val="tx1"/>
            </w14:solidFill>
          </w14:textFill>
        </w:rPr>
        <w:t>安徽交控东流新材料有限公司</w:t>
      </w:r>
      <w:r>
        <w:rPr>
          <w:rFonts w:hint="default" w:ascii="Times New Roman" w:hAnsi="Times New Roman" w:eastAsia="华文仿宋" w:cs="Times New Roman"/>
          <w:color w:val="000000" w:themeColor="text1"/>
          <w:sz w:val="28"/>
          <w:szCs w:val="28"/>
          <w:highlight w:val="none"/>
          <w:u w:val="none"/>
          <w14:textFill>
            <w14:solidFill>
              <w14:schemeClr w14:val="tx1"/>
            </w14:solidFill>
          </w14:textFill>
        </w:rPr>
        <w:t>：</w:t>
      </w:r>
    </w:p>
    <w:p w14:paraId="79970B35">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8"/>
          <w:sz w:val="28"/>
          <w:szCs w:val="28"/>
          <w:highlight w:val="none"/>
          <w14:textFill>
            <w14:solidFill>
              <w14:schemeClr w14:val="tx1"/>
            </w14:solidFill>
          </w14:textFill>
        </w:rPr>
        <w:t>本公司已对贵公司本期竞买产品、交付场地</w:t>
      </w:r>
      <w:r>
        <w:rPr>
          <w:rFonts w:hint="default" w:ascii="Times New Roman" w:hAnsi="Times New Roman" w:cs="Times New Roman"/>
          <w:color w:val="000000" w:themeColor="text1"/>
          <w:spacing w:val="-8"/>
          <w:sz w:val="28"/>
          <w:szCs w:val="28"/>
          <w:highlight w:val="none"/>
          <w:lang w:eastAsia="zh-CN"/>
          <w14:textFill>
            <w14:solidFill>
              <w14:schemeClr w14:val="tx1"/>
            </w14:solidFill>
          </w14:textFill>
        </w:rPr>
        <w:t>、</w:t>
      </w:r>
      <w:r>
        <w:rPr>
          <w:rFonts w:hint="default" w:ascii="Times New Roman" w:hAnsi="Times New Roman" w:cs="Times New Roman"/>
          <w:color w:val="000000" w:themeColor="text1"/>
          <w:spacing w:val="-8"/>
          <w:sz w:val="28"/>
          <w:szCs w:val="28"/>
          <w:highlight w:val="none"/>
          <w:lang w:val="en-US" w:eastAsia="zh-CN"/>
          <w14:textFill>
            <w14:solidFill>
              <w14:schemeClr w14:val="tx1"/>
            </w14:solidFill>
          </w14:textFill>
        </w:rPr>
        <w:t>运输条件</w:t>
      </w:r>
      <w:r>
        <w:rPr>
          <w:rFonts w:hint="default" w:ascii="Times New Roman" w:hAnsi="Times New Roman" w:eastAsia="华文仿宋" w:cs="Times New Roman"/>
          <w:color w:val="000000" w:themeColor="text1"/>
          <w:spacing w:val="-8"/>
          <w:sz w:val="28"/>
          <w:szCs w:val="28"/>
          <w:highlight w:val="none"/>
          <w14:textFill>
            <w14:solidFill>
              <w14:schemeClr w14:val="tx1"/>
            </w14:solidFill>
          </w14:textFill>
        </w:rPr>
        <w:t>等情况进行了全</w:t>
      </w:r>
      <w:r>
        <w:rPr>
          <w:rFonts w:hint="default" w:ascii="Times New Roman" w:hAnsi="Times New Roman" w:eastAsia="华文仿宋" w:cs="Times New Roman"/>
          <w:color w:val="000000" w:themeColor="text1"/>
          <w:sz w:val="28"/>
          <w:szCs w:val="28"/>
          <w:highlight w:val="none"/>
          <w14:textFill>
            <w14:solidFill>
              <w14:schemeClr w14:val="tx1"/>
            </w14:solidFill>
          </w14:textFill>
        </w:rPr>
        <w:t>面细致地了解，现承诺如下：</w:t>
      </w:r>
      <w:bookmarkStart w:id="178" w:name="_Toc25471"/>
      <w:bookmarkStart w:id="179" w:name="_Toc27209"/>
      <w:bookmarkStart w:id="180" w:name="_Toc668"/>
    </w:p>
    <w:p w14:paraId="3F3481E5">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7"/>
          <w:sz w:val="28"/>
          <w:szCs w:val="28"/>
          <w:highlight w:val="none"/>
          <w14:textFill>
            <w14:solidFill>
              <w14:schemeClr w14:val="tx1"/>
            </w14:solidFill>
          </w14:textFill>
        </w:rPr>
        <w:t>提交的竞价资料文件及报价文件真实、合法、有</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效。</w:t>
      </w:r>
      <w:bookmarkEnd w:id="178"/>
      <w:bookmarkEnd w:id="179"/>
      <w:bookmarkEnd w:id="180"/>
    </w:p>
    <w:p w14:paraId="544AAB3E">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11"/>
          <w:sz w:val="28"/>
          <w:szCs w:val="28"/>
          <w:highlight w:val="none"/>
          <w14:textFill>
            <w14:solidFill>
              <w14:schemeClr w14:val="tx1"/>
            </w14:solidFill>
          </w14:textFill>
        </w:rPr>
        <w:t>及时、足额交纳竞买保证金并接受贵公司对竞买保证金处</w:t>
      </w:r>
      <w:r>
        <w:rPr>
          <w:rFonts w:hint="default" w:ascii="Times New Roman" w:hAnsi="Times New Roman" w:eastAsia="华文仿宋" w:cs="Times New Roman"/>
          <w:color w:val="000000" w:themeColor="text1"/>
          <w:sz w:val="28"/>
          <w:szCs w:val="28"/>
          <w:highlight w:val="none"/>
          <w14:textFill>
            <w14:solidFill>
              <w14:schemeClr w14:val="tx1"/>
            </w14:solidFill>
          </w14:textFill>
        </w:rPr>
        <w:t>置的条款，严格遵守本次竞价交易规则。</w:t>
      </w:r>
    </w:p>
    <w:p w14:paraId="393FA14D">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10"/>
          <w:sz w:val="28"/>
          <w:szCs w:val="28"/>
          <w:highlight w:val="none"/>
          <w14:textFill>
            <w14:solidFill>
              <w14:schemeClr w14:val="tx1"/>
            </w14:solidFill>
          </w14:textFill>
        </w:rPr>
        <w:t>我方通过现场查看、抽样检测等途径，了解并完全认可贵</w:t>
      </w:r>
      <w:r>
        <w:rPr>
          <w:rFonts w:hint="default" w:ascii="Times New Roman" w:hAnsi="Times New Roman" w:eastAsia="华文仿宋" w:cs="Times New Roman"/>
          <w:color w:val="000000" w:themeColor="text1"/>
          <w:sz w:val="28"/>
          <w:szCs w:val="28"/>
          <w:highlight w:val="none"/>
          <w14:textFill>
            <w14:solidFill>
              <w14:schemeClr w14:val="tx1"/>
            </w14:solidFill>
          </w14:textFill>
        </w:rPr>
        <w:t>公司的产品质量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及品相</w:t>
      </w:r>
      <w:r>
        <w:rPr>
          <w:rFonts w:hint="default" w:ascii="Times New Roman" w:hAnsi="Times New Roman" w:eastAsia="华文仿宋" w:cs="Times New Roman"/>
          <w:color w:val="000000" w:themeColor="text1"/>
          <w:sz w:val="28"/>
          <w:szCs w:val="28"/>
          <w:highlight w:val="none"/>
          <w14:textFill>
            <w14:solidFill>
              <w14:schemeClr w14:val="tx1"/>
            </w14:solidFill>
          </w14:textFill>
        </w:rPr>
        <w:t>。合同签订后，对产品进入我方承运工具后的运输、周转及使用等过程中发生的质量问题负责。</w:t>
      </w:r>
    </w:p>
    <w:p w14:paraId="333D5F4F">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t>产品竞得后，愿意按规定及时</w:t>
      </w:r>
      <w:r>
        <w:rPr>
          <w:rFonts w:hint="default" w:ascii="Times New Roman" w:hAnsi="Times New Roman" w:eastAsia="华文仿宋" w:cs="Times New Roman"/>
          <w:color w:val="000000" w:themeColor="text1"/>
          <w:sz w:val="28"/>
          <w:szCs w:val="28"/>
          <w:highlight w:val="none"/>
          <w14:textFill>
            <w14:solidFill>
              <w14:schemeClr w14:val="tx1"/>
            </w14:solidFill>
          </w14:textFill>
        </w:rPr>
        <w:t>签</w:t>
      </w:r>
      <w:r>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t>订</w:t>
      </w:r>
      <w:r>
        <w:rPr>
          <w:rFonts w:hint="default" w:ascii="Times New Roman" w:hAnsi="Times New Roman" w:eastAsia="华文仿宋" w:cs="Times New Roman"/>
          <w:color w:val="000000" w:themeColor="text1"/>
          <w:spacing w:val="-9"/>
          <w:sz w:val="28"/>
          <w:szCs w:val="28"/>
          <w:highlight w:val="none"/>
          <w:lang w:val="en-US" w:eastAsia="zh-CN"/>
          <w14:textFill>
            <w14:solidFill>
              <w14:schemeClr w14:val="tx1"/>
            </w14:solidFill>
          </w14:textFill>
        </w:rPr>
        <w:t>购销</w:t>
      </w:r>
      <w:r>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t>合同</w:t>
      </w:r>
      <w:r>
        <w:rPr>
          <w:rFonts w:hint="default" w:ascii="Times New Roman" w:hAnsi="Times New Roman" w:eastAsia="华文仿宋" w:cs="Times New Roman"/>
          <w:color w:val="000000" w:themeColor="text1"/>
          <w:spacing w:val="-9"/>
          <w:sz w:val="28"/>
          <w:szCs w:val="28"/>
          <w:highlight w:val="none"/>
          <w:lang w:val="en-US" w:eastAsia="zh-CN"/>
          <w14:textFill>
            <w14:solidFill>
              <w14:schemeClr w14:val="tx1"/>
            </w14:solidFill>
          </w14:textFill>
        </w:rPr>
        <w:t>并</w:t>
      </w:r>
      <w:r>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t>按时</w:t>
      </w:r>
      <w:r>
        <w:rPr>
          <w:rFonts w:hint="default" w:ascii="Times New Roman" w:hAnsi="Times New Roman" w:eastAsia="华文仿宋" w:cs="Times New Roman"/>
          <w:color w:val="000000" w:themeColor="text1"/>
          <w:spacing w:val="-9"/>
          <w:sz w:val="28"/>
          <w:szCs w:val="28"/>
          <w:highlight w:val="none"/>
          <w:lang w:val="en-US" w:eastAsia="zh-CN"/>
          <w14:textFill>
            <w14:solidFill>
              <w14:schemeClr w14:val="tx1"/>
            </w14:solidFill>
          </w14:textFill>
        </w:rPr>
        <w:t>足额</w:t>
      </w:r>
      <w:r>
        <w:rPr>
          <w:rFonts w:hint="default" w:ascii="Times New Roman" w:hAnsi="Times New Roman" w:eastAsia="华文仿宋" w:cs="Times New Roman"/>
          <w:color w:val="000000" w:themeColor="text1"/>
          <w:sz w:val="28"/>
          <w:szCs w:val="28"/>
          <w:highlight w:val="none"/>
          <w14:textFill>
            <w14:solidFill>
              <w14:schemeClr w14:val="tx1"/>
            </w14:solidFill>
          </w14:textFill>
        </w:rPr>
        <w:t>交纳货款</w:t>
      </w:r>
      <w:r>
        <w:rPr>
          <w:rFonts w:hint="default" w:ascii="Times New Roman" w:hAnsi="Times New Roman" w:eastAsia="华文仿宋" w:cs="Times New Roman"/>
          <w:color w:val="000000" w:themeColor="text1"/>
          <w:sz w:val="28"/>
          <w:szCs w:val="28"/>
          <w:highlight w:val="none"/>
          <w:lang w:val="en-US" w:eastAsia="zh-CN"/>
          <w14:textFill>
            <w14:solidFill>
              <w14:schemeClr w14:val="tx1"/>
            </w14:solidFill>
          </w14:textFill>
        </w:rPr>
        <w:t>及履约保证金</w:t>
      </w:r>
      <w:r>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t>。</w:t>
      </w:r>
    </w:p>
    <w:p w14:paraId="595F4A6A">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9"/>
          <w:sz w:val="28"/>
          <w:szCs w:val="28"/>
          <w:highlight w:val="none"/>
          <w14:textFill>
            <w14:solidFill>
              <w14:schemeClr w14:val="tx1"/>
            </w14:solidFill>
          </w14:textFill>
        </w:rPr>
        <w:t>我方接受以贵公司产品所在地称重计量设施进行计量，并以贵公司与我方共同签字确认的结果为准，合同执行期间不再就产品计量问题提出任何异议。</w:t>
      </w:r>
    </w:p>
    <w:p w14:paraId="6FD1D484">
      <w:pPr>
        <w:pStyle w:val="14"/>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000000" w:themeColor="text1"/>
          <w:sz w:val="28"/>
          <w:szCs w:val="28"/>
          <w:highlight w:val="none"/>
          <w14:textFill>
            <w14:solidFill>
              <w14:schemeClr w14:val="tx1"/>
            </w14:solidFill>
          </w14:textFill>
        </w:rPr>
      </w:pPr>
      <w:bookmarkStart w:id="181" w:name="_Toc10500"/>
      <w:bookmarkStart w:id="182" w:name="_Toc3413"/>
      <w:bookmarkStart w:id="183" w:name="_Toc23877"/>
      <w:bookmarkStart w:id="184" w:name="_Toc4643"/>
      <w:bookmarkStart w:id="185" w:name="_Toc276"/>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合同签订后，按合同约定的时间完成提货。</w:t>
      </w:r>
      <w:bookmarkEnd w:id="181"/>
      <w:bookmarkEnd w:id="182"/>
      <w:bookmarkEnd w:id="183"/>
      <w:bookmarkEnd w:id="184"/>
      <w:bookmarkEnd w:id="185"/>
    </w:p>
    <w:p w14:paraId="1E9BE1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 xml:space="preserve">       </w:t>
      </w:r>
    </w:p>
    <w:p w14:paraId="0B45655E">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 xml:space="preserve">                竞买人（盖章）：  </w:t>
      </w:r>
    </w:p>
    <w:p w14:paraId="78866CFA">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法定代表人（签名）：</w:t>
      </w:r>
    </w:p>
    <w:p w14:paraId="52A91A98">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授权委托代理人(签名)：</w:t>
      </w:r>
    </w:p>
    <w:p w14:paraId="2DDD65BA">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z w:val="28"/>
          <w:szCs w:val="28"/>
          <w:highlight w:val="none"/>
          <w14:textFill>
            <w14:solidFill>
              <w14:schemeClr w14:val="tx1"/>
            </w14:solidFill>
          </w14:textFill>
        </w:rPr>
        <w:t>日</w:t>
      </w:r>
      <w:r>
        <w:rPr>
          <w:rFonts w:hint="default" w:ascii="Times New Roman" w:hAnsi="Times New Roman" w:eastAsia="华文仿宋" w:cs="Times New Roman"/>
          <w:color w:val="000000" w:themeColor="text1"/>
          <w:sz w:val="28"/>
          <w:szCs w:val="28"/>
          <w:highlight w:val="none"/>
          <w14:textFill>
            <w14:solidFill>
              <w14:schemeClr w14:val="tx1"/>
            </w14:solidFill>
          </w14:textFill>
        </w:rPr>
        <w:tab/>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期</w:t>
      </w:r>
      <w:r>
        <w:rPr>
          <w:rFonts w:hint="default" w:ascii="Times New Roman" w:hAnsi="Times New Roman" w:eastAsia="华文仿宋" w:cs="Times New Roman"/>
          <w:color w:val="000000" w:themeColor="text1"/>
          <w:sz w:val="28"/>
          <w:szCs w:val="28"/>
          <w:highlight w:val="none"/>
          <w14:textFill>
            <w14:solidFill>
              <w14:schemeClr w14:val="tx1"/>
            </w14:solidFill>
          </w14:textFill>
        </w:rPr>
        <w:t>：</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年</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月</w:t>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color w:val="000000" w:themeColor="text1"/>
          <w:sz w:val="28"/>
          <w:szCs w:val="28"/>
          <w:highlight w:val="none"/>
          <w14:textFill>
            <w14:solidFill>
              <w14:schemeClr w14:val="tx1"/>
            </w14:solidFill>
          </w14:textFill>
        </w:rPr>
        <w:t xml:space="preserve">日 </w:t>
      </w:r>
      <w:r>
        <w:rPr>
          <w:rFonts w:hint="default" w:ascii="Times New Roman" w:hAnsi="Times New Roman" w:eastAsia="方正仿宋_GB2312" w:cs="Times New Roman"/>
          <w:color w:val="000000" w:themeColor="text1"/>
          <w:sz w:val="28"/>
          <w:szCs w:val="28"/>
          <w:highlight w:val="none"/>
          <w14:textFill>
            <w14:solidFill>
              <w14:schemeClr w14:val="tx1"/>
            </w14:solidFill>
          </w14:textFill>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000000" w:themeColor="text1"/>
          <w:sz w:val="28"/>
          <w:szCs w:val="28"/>
          <w:highlight w:val="none"/>
          <w14:textFill>
            <w14:solidFill>
              <w14:schemeClr w14:val="tx1"/>
            </w14:solidFill>
          </w14:textFill>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6949A344">
      <w:pPr>
        <w:pStyle w:val="2"/>
        <w:jc w:val="left"/>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pPr>
      <w:bookmarkStart w:id="186" w:name="_Toc25331"/>
      <w:bookmarkStart w:id="187" w:name="_Toc1090"/>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五、合法加工生产承诺函</w:t>
      </w:r>
    </w:p>
    <w:p w14:paraId="7C2A603E">
      <w:pPr>
        <w:spacing w:before="1" w:line="360" w:lineRule="auto"/>
        <w:ind w:left="354" w:right="493"/>
        <w:jc w:val="center"/>
        <w:rPr>
          <w:rFonts w:hint="default" w:ascii="Times New Roman" w:hAnsi="Times New Roman" w:eastAsia="方正小标宋简体"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highlight w:val="none"/>
          <w:lang w:val="en-US" w:eastAsia="zh-CN"/>
          <w14:textFill>
            <w14:solidFill>
              <w14:schemeClr w14:val="tx1"/>
            </w14:solidFill>
          </w14:textFill>
        </w:rPr>
        <w:t>合法加工生产承诺函</w:t>
      </w:r>
    </w:p>
    <w:p w14:paraId="4FDDF7A5">
      <w:pPr>
        <w:adjustRightInd w:val="0"/>
        <w:snapToGrid w:val="0"/>
        <w:spacing w:line="600" w:lineRule="exact"/>
        <w:rPr>
          <w:rFonts w:hint="default" w:ascii="Times New Roman" w:hAnsi="Times New Roman" w:eastAsia="华文仿宋" w:cs="Times New Roman"/>
          <w:color w:val="000000" w:themeColor="text1"/>
          <w:sz w:val="24"/>
          <w:szCs w:val="24"/>
          <w:highlight w:val="none"/>
          <w:u w:val="none"/>
          <w:lang w:eastAsia="zh-CN"/>
          <w14:textFill>
            <w14:solidFill>
              <w14:schemeClr w14:val="tx1"/>
            </w14:solidFill>
          </w14:textFill>
        </w:rPr>
      </w:pPr>
    </w:p>
    <w:p w14:paraId="7623F53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000000" w:themeColor="text1"/>
          <w:sz w:val="28"/>
          <w:szCs w:val="28"/>
          <w:highlight w:val="none"/>
          <w:u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u w:val="none"/>
          <w:lang w:eastAsia="zh-CN"/>
          <w14:textFill>
            <w14:solidFill>
              <w14:schemeClr w14:val="tx1"/>
            </w14:solidFill>
          </w14:textFill>
        </w:rPr>
        <w:t>安徽交控东流新材料有限公司</w:t>
      </w:r>
      <w:r>
        <w:rPr>
          <w:rFonts w:hint="default" w:ascii="Times New Roman" w:hAnsi="Times New Roman" w:eastAsia="华文仿宋" w:cs="Times New Roman"/>
          <w:color w:val="000000" w:themeColor="text1"/>
          <w:sz w:val="28"/>
          <w:szCs w:val="28"/>
          <w:highlight w:val="none"/>
          <w:u w:val="none"/>
          <w14:textFill>
            <w14:solidFill>
              <w14:schemeClr w14:val="tx1"/>
            </w14:solidFill>
          </w14:textFill>
        </w:rPr>
        <w:t>：</w:t>
      </w:r>
    </w:p>
    <w:p w14:paraId="3A9CD1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我方</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none"/>
          <w:lang w:val="en-US" w:eastAsia="zh-CN"/>
          <w14:textFill>
            <w14:solidFill>
              <w14:schemeClr w14:val="tx1"/>
            </w14:solidFill>
          </w14:textFill>
        </w:rPr>
        <w:t>（公司名称）</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，在此郑重承诺：我方在参与贵方的竞标活动中，保证公司的生产加工符合东至县关于非矿山砂石加工企业相关要求。</w:t>
      </w:r>
    </w:p>
    <w:p w14:paraId="7CBE6A2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如在后续的竞标过程中或项目实施过程中发现我方存在提供虚假文件或不符合相关要求的情况，我方愿意承担由此产生的一切法律责任和后果。</w:t>
      </w:r>
    </w:p>
    <w:p w14:paraId="5B788E2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p>
    <w:p w14:paraId="6CFF507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pPr>
      <w:r>
        <w:rPr>
          <w:rFonts w:hint="default" w:ascii="Times New Roman" w:hAnsi="Times New Roman" w:cs="Times New Roman"/>
          <w:color w:val="000000" w:themeColor="text1"/>
          <w:spacing w:val="-1"/>
          <w:sz w:val="28"/>
          <w:szCs w:val="28"/>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pacing w:val="-1"/>
          <w:sz w:val="28"/>
          <w:szCs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 xml:space="preserve">竞买人（盖章）：  </w:t>
      </w:r>
    </w:p>
    <w:p w14:paraId="453AD46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法定代表人</w:t>
      </w:r>
      <w:r>
        <w:rPr>
          <w:rFonts w:hint="default" w:ascii="Times New Roman" w:hAnsi="Times New Roman" w:cs="Times New Roman"/>
          <w:color w:val="000000" w:themeColor="text1"/>
          <w:spacing w:val="-3"/>
          <w:sz w:val="28"/>
          <w:szCs w:val="28"/>
          <w:highlight w:val="none"/>
          <w:lang w:val="en-US" w:eastAsia="zh-CN"/>
          <w14:textFill>
            <w14:solidFill>
              <w14:schemeClr w14:val="tx1"/>
            </w14:solidFill>
          </w14:textFill>
        </w:rPr>
        <w:t>或</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授权委托代理人</w:t>
      </w:r>
    </w:p>
    <w:p w14:paraId="4C59F71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pacing w:val="-3"/>
          <w:sz w:val="28"/>
          <w:szCs w:val="28"/>
          <w:highlight w:val="none"/>
          <w:lang w:eastAsia="zh-CN"/>
          <w14:textFill>
            <w14:solidFill>
              <w14:schemeClr w14:val="tx1"/>
            </w14:solidFill>
          </w14:textFill>
        </w:rPr>
        <w:t>（</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签名</w:t>
      </w:r>
      <w:r>
        <w:rPr>
          <w:rFonts w:hint="default" w:ascii="Times New Roman" w:hAnsi="Times New Roman" w:cs="Times New Roman"/>
          <w:color w:val="000000" w:themeColor="text1"/>
          <w:spacing w:val="-3"/>
          <w:sz w:val="28"/>
          <w:szCs w:val="28"/>
          <w:highlight w:val="none"/>
          <w:lang w:eastAsia="zh-CN"/>
          <w14:textFill>
            <w14:solidFill>
              <w14:schemeClr w14:val="tx1"/>
            </w14:solidFill>
          </w14:textFill>
        </w:rPr>
        <w:t>）</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w:t>
      </w:r>
    </w:p>
    <w:p w14:paraId="337F0D2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b w:val="0"/>
          <w:bCs/>
          <w:color w:val="000000" w:themeColor="text1"/>
          <w:sz w:val="28"/>
          <w:szCs w:val="28"/>
          <w:highlight w:val="none"/>
          <w14:textFill>
            <w14:solidFill>
              <w14:schemeClr w14:val="tx1"/>
            </w14:solidFill>
          </w14:textFill>
        </w:rPr>
        <w:t>日</w:t>
      </w:r>
      <w:r>
        <w:rPr>
          <w:rFonts w:hint="default" w:ascii="Times New Roman" w:hAnsi="Times New Roman" w:eastAsia="华文仿宋" w:cs="Times New Roman"/>
          <w:b w:val="0"/>
          <w:bCs/>
          <w:color w:val="000000" w:themeColor="text1"/>
          <w:spacing w:val="-3"/>
          <w:sz w:val="28"/>
          <w:szCs w:val="28"/>
          <w:highlight w:val="none"/>
          <w14:textFill>
            <w14:solidFill>
              <w14:schemeClr w14:val="tx1"/>
            </w14:solidFill>
          </w14:textFill>
        </w:rPr>
        <w:t>期</w:t>
      </w:r>
      <w:r>
        <w:rPr>
          <w:rFonts w:hint="default" w:ascii="Times New Roman" w:hAnsi="Times New Roman" w:eastAsia="华文仿宋" w:cs="Times New Roman"/>
          <w:b w:val="0"/>
          <w:bCs/>
          <w:color w:val="000000" w:themeColor="text1"/>
          <w:sz w:val="28"/>
          <w:szCs w:val="28"/>
          <w:highlight w:val="none"/>
          <w14:textFill>
            <w14:solidFill>
              <w14:schemeClr w14:val="tx1"/>
            </w14:solidFill>
          </w14:textFill>
        </w:rPr>
        <w:t>：</w:t>
      </w:r>
      <w:r>
        <w:rPr>
          <w:rFonts w:hint="default" w:ascii="Times New Roman" w:hAnsi="Times New Roman" w:eastAsia="华文仿宋" w:cs="Times New Roman"/>
          <w:b w:val="0"/>
          <w:bCs/>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b w:val="0"/>
          <w:bCs/>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b w:val="0"/>
          <w:bCs/>
          <w:color w:val="000000" w:themeColor="text1"/>
          <w:sz w:val="28"/>
          <w:szCs w:val="28"/>
          <w:highlight w:val="none"/>
          <w14:textFill>
            <w14:solidFill>
              <w14:schemeClr w14:val="tx1"/>
            </w14:solidFill>
          </w14:textFill>
        </w:rPr>
        <w:t>年</w:t>
      </w:r>
      <w:r>
        <w:rPr>
          <w:rFonts w:hint="default" w:ascii="Times New Roman" w:hAnsi="Times New Roman" w:eastAsia="华文仿宋" w:cs="Times New Roman"/>
          <w:b w:val="0"/>
          <w:bCs/>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b w:val="0"/>
          <w:bCs/>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b w:val="0"/>
          <w:bCs/>
          <w:color w:val="000000" w:themeColor="text1"/>
          <w:sz w:val="28"/>
          <w:szCs w:val="28"/>
          <w:highlight w:val="none"/>
          <w14:textFill>
            <w14:solidFill>
              <w14:schemeClr w14:val="tx1"/>
            </w14:solidFill>
          </w14:textFill>
        </w:rPr>
        <w:t>月</w:t>
      </w:r>
      <w:r>
        <w:rPr>
          <w:rFonts w:hint="default" w:ascii="Times New Roman" w:hAnsi="Times New Roman" w:eastAsia="华文仿宋" w:cs="Times New Roman"/>
          <w:b w:val="0"/>
          <w:bCs/>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b w:val="0"/>
          <w:bCs/>
          <w:color w:val="000000" w:themeColor="text1"/>
          <w:sz w:val="28"/>
          <w:szCs w:val="28"/>
          <w:highlight w:val="none"/>
          <w:u w:val="single"/>
          <w14:textFill>
            <w14:solidFill>
              <w14:schemeClr w14:val="tx1"/>
            </w14:solidFill>
          </w14:textFill>
        </w:rPr>
        <w:tab/>
      </w:r>
      <w:r>
        <w:rPr>
          <w:rFonts w:hint="default" w:ascii="Times New Roman" w:hAnsi="Times New Roman" w:eastAsia="华文仿宋" w:cs="Times New Roman"/>
          <w:b w:val="0"/>
          <w:bCs/>
          <w:color w:val="000000" w:themeColor="text1"/>
          <w:sz w:val="28"/>
          <w:szCs w:val="28"/>
          <w:highlight w:val="none"/>
          <w14:textFill>
            <w14:solidFill>
              <w14:schemeClr w14:val="tx1"/>
            </w14:solidFill>
          </w14:textFill>
        </w:rPr>
        <w:t xml:space="preserve">日 </w:t>
      </w:r>
      <w:r>
        <w:rPr>
          <w:rFonts w:hint="default" w:ascii="Times New Roman" w:hAnsi="Times New Roman" w:eastAsia="方正仿宋_GB2312" w:cs="Times New Roman"/>
          <w:b w:val="0"/>
          <w:bCs/>
          <w:color w:val="000000" w:themeColor="text1"/>
          <w:sz w:val="28"/>
          <w:szCs w:val="28"/>
          <w:highlight w:val="none"/>
          <w14:textFill>
            <w14:solidFill>
              <w14:schemeClr w14:val="tx1"/>
            </w14:solidFill>
          </w14:textFill>
        </w:rPr>
        <w:t xml:space="preserve"> </w:t>
      </w:r>
      <w:r>
        <w:rPr>
          <w:rFonts w:hint="default" w:ascii="Times New Roman" w:hAnsi="Times New Roman" w:eastAsia="方正仿宋_GB2312" w:cs="Times New Roman"/>
          <w:color w:val="000000" w:themeColor="text1"/>
          <w:sz w:val="28"/>
          <w:szCs w:val="28"/>
          <w:highlight w:val="none"/>
          <w14:textFill>
            <w14:solidFill>
              <w14:schemeClr w14:val="tx1"/>
            </w14:solidFill>
          </w14:textFill>
        </w:rPr>
        <w:t xml:space="preserve"> </w:t>
      </w:r>
    </w:p>
    <w:p w14:paraId="25C1E7E2">
      <w:pPr>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0FFE6DFB">
      <w:pPr>
        <w:pStyle w:val="2"/>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3613B2AE">
      <w:pPr>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0EA2DCAD">
      <w:pPr>
        <w:pStyle w:val="2"/>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6711F27F">
      <w:pPr>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70447BD6">
      <w:pPr>
        <w:pStyle w:val="2"/>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15E56110">
      <w:pPr>
        <w:rPr>
          <w:rFonts w:hint="default"/>
          <w:color w:val="000000" w:themeColor="text1"/>
          <w:highlight w:val="none"/>
          <w14:textFill>
            <w14:solidFill>
              <w14:schemeClr w14:val="tx1"/>
            </w14:solidFill>
          </w14:textFill>
        </w:rPr>
      </w:pPr>
    </w:p>
    <w:p w14:paraId="0FE82ABE">
      <w:pPr>
        <w:pStyle w:val="2"/>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4376374C">
      <w:pPr>
        <w:pStyle w:val="2"/>
        <w:jc w:val="left"/>
        <w:rPr>
          <w:rFonts w:hint="default" w:ascii="Times New Roman" w:hAnsi="Times New Roman" w:eastAsia="黑体" w:cs="Times New Roman"/>
          <w:b w:val="0"/>
          <w:bCs/>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竞买保证金汇款回执单</w:t>
      </w:r>
      <w:bookmarkEnd w:id="186"/>
      <w:bookmarkEnd w:id="187"/>
    </w:p>
    <w:p w14:paraId="7DAC7A13">
      <w:pPr>
        <w:pStyle w:val="5"/>
        <w:spacing w:before="9"/>
        <w:rPr>
          <w:rFonts w:hint="default" w:ascii="Times New Roman" w:hAnsi="Times New Roman" w:cs="Times New Roman"/>
          <w:b/>
          <w:color w:val="000000" w:themeColor="text1"/>
          <w:sz w:val="28"/>
          <w:szCs w:val="28"/>
          <w:highlight w:val="none"/>
          <w14:textFill>
            <w14:solidFill>
              <w14:schemeClr w14:val="tx1"/>
            </w14:solidFill>
          </w14:textFill>
        </w:rPr>
      </w:pPr>
    </w:p>
    <w:p w14:paraId="796CE6C5">
      <w:pPr>
        <w:widowControl w:val="0"/>
        <w:spacing w:line="240" w:lineRule="auto"/>
        <w:ind w:left="354" w:right="491"/>
        <w:jc w:val="center"/>
        <w:outlineLvl w:val="0"/>
        <w:rPr>
          <w:rFonts w:hint="default" w:ascii="Times New Roman" w:hAnsi="Times New Roman" w:eastAsia="方正小标宋简体" w:cs="Times New Roman"/>
          <w:b w:val="0"/>
          <w:bCs w:val="0"/>
          <w:color w:val="000000" w:themeColor="text1"/>
          <w:kern w:val="2"/>
          <w:sz w:val="28"/>
          <w:szCs w:val="28"/>
          <w:highlight w:val="none"/>
          <w:lang w:val="en-US" w:eastAsia="zh-CN" w:bidi="ar-SA"/>
          <w14:textFill>
            <w14:solidFill>
              <w14:schemeClr w14:val="tx1"/>
            </w14:solidFill>
          </w14:textFill>
        </w:rPr>
      </w:pPr>
      <w:bookmarkStart w:id="188" w:name="_Toc1385"/>
      <w:bookmarkStart w:id="189" w:name="_Toc6055"/>
      <w:bookmarkStart w:id="190" w:name="_Toc28368"/>
      <w:bookmarkStart w:id="191" w:name="_Toc12166"/>
      <w:bookmarkStart w:id="192" w:name="_Toc2608"/>
      <w:bookmarkStart w:id="193" w:name="_Toc26444"/>
      <w:r>
        <w:rPr>
          <w:rFonts w:hint="default" w:ascii="Times New Roman" w:hAnsi="Times New Roman" w:eastAsia="方正小标宋简体" w:cs="Times New Roman"/>
          <w:b w:val="0"/>
          <w:bCs w:val="0"/>
          <w:color w:val="000000" w:themeColor="text1"/>
          <w:kern w:val="2"/>
          <w:sz w:val="32"/>
          <w:szCs w:val="32"/>
          <w:highlight w:val="none"/>
          <w:lang w:val="en-US" w:eastAsia="zh-CN" w:bidi="ar-SA"/>
          <w14:textFill>
            <w14:solidFill>
              <w14:schemeClr w14:val="tx1"/>
            </w14:solidFill>
          </w14:textFill>
        </w:rPr>
        <w:t>竞买保证金汇款回执单</w:t>
      </w:r>
      <w:bookmarkEnd w:id="188"/>
      <w:bookmarkEnd w:id="189"/>
      <w:bookmarkEnd w:id="190"/>
      <w:bookmarkEnd w:id="191"/>
      <w:bookmarkEnd w:id="192"/>
      <w:bookmarkEnd w:id="193"/>
    </w:p>
    <w:p w14:paraId="1BDA07E0">
      <w:pPr>
        <w:spacing w:before="347"/>
        <w:ind w:left="2" w:right="137"/>
        <w:jc w:val="center"/>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（此处粘贴竞买保证金汇款回执复印件）</w:t>
      </w:r>
    </w:p>
    <w:p w14:paraId="5FC1EC63">
      <w:pPr>
        <w:pStyle w:val="5"/>
        <w:rPr>
          <w:rFonts w:hint="default" w:ascii="Times New Roman" w:hAnsi="Times New Roman" w:eastAsia="华文仿宋" w:cs="Times New Roman"/>
          <w:color w:val="000000" w:themeColor="text1"/>
          <w:sz w:val="28"/>
          <w:szCs w:val="28"/>
          <w:highlight w:val="none"/>
          <w14:textFill>
            <w14:solidFill>
              <w14:schemeClr w14:val="tx1"/>
            </w14:solidFill>
          </w14:textFill>
        </w:rPr>
      </w:pPr>
    </w:p>
    <w:p w14:paraId="1C2C7A92">
      <w:pPr>
        <w:pStyle w:val="5"/>
        <w:rPr>
          <w:rFonts w:hint="default" w:ascii="Times New Roman" w:hAnsi="Times New Roman" w:eastAsia="华文仿宋" w:cs="Times New Roman"/>
          <w:color w:val="000000" w:themeColor="text1"/>
          <w:sz w:val="28"/>
          <w:szCs w:val="28"/>
          <w:highlight w:val="none"/>
          <w14:textFill>
            <w14:solidFill>
              <w14:schemeClr w14:val="tx1"/>
            </w14:solidFill>
          </w14:textFill>
        </w:rPr>
      </w:pPr>
    </w:p>
    <w:p w14:paraId="5909E1BB">
      <w:pPr>
        <w:pStyle w:val="5"/>
        <w:rPr>
          <w:rFonts w:hint="default" w:ascii="Times New Roman" w:hAnsi="Times New Roman" w:eastAsia="华文仿宋" w:cs="Times New Roman"/>
          <w:color w:val="000000" w:themeColor="text1"/>
          <w:sz w:val="28"/>
          <w:szCs w:val="28"/>
          <w:highlight w:val="none"/>
          <w14:textFill>
            <w14:solidFill>
              <w14:schemeClr w14:val="tx1"/>
            </w14:solidFill>
          </w14:textFill>
        </w:rPr>
      </w:pPr>
    </w:p>
    <w:p w14:paraId="350A7EFE">
      <w:pPr>
        <w:adjustRightInd w:val="0"/>
        <w:snapToGrid w:val="0"/>
        <w:spacing w:line="600" w:lineRule="exact"/>
        <w:jc w:val="cente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pPr>
      <w:bookmarkStart w:id="194" w:name="_Toc7684"/>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 xml:space="preserve">              </w:t>
      </w:r>
      <w:r>
        <w:rPr>
          <w:rFonts w:hint="eastAsia" w:ascii="Times New Roman" w:hAnsi="Times New Roman" w:cs="Times New Roman"/>
          <w:color w:val="000000" w:themeColor="text1"/>
          <w:spacing w:val="-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 xml:space="preserve"> 竞买人（盖章）：</w:t>
      </w:r>
    </w:p>
    <w:p w14:paraId="06BABF53">
      <w:pPr>
        <w:wordWrap/>
        <w:adjustRightInd w:val="0"/>
        <w:snapToGrid w:val="0"/>
        <w:spacing w:line="600" w:lineRule="exact"/>
        <w:ind w:firstLine="4384" w:firstLineChars="1600"/>
        <w:jc w:val="left"/>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 xml:space="preserve">法定代表人（签名）：       </w:t>
      </w:r>
    </w:p>
    <w:p w14:paraId="0092F736">
      <w:pPr>
        <w:wordWrap/>
        <w:adjustRightInd w:val="0"/>
        <w:snapToGrid w:val="0"/>
        <w:spacing w:line="600" w:lineRule="exact"/>
        <w:ind w:firstLine="2192" w:firstLineChars="800"/>
        <w:jc w:val="left"/>
        <w:rPr>
          <w:rFonts w:hint="default" w:ascii="Times New Roman" w:hAnsi="Times New Roman" w:eastAsia="华文仿宋" w:cs="Times New Roman"/>
          <w:color w:val="000000" w:themeColor="text1"/>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 xml:space="preserve">   </w:t>
      </w:r>
      <w:r>
        <w:rPr>
          <w:rFonts w:hint="default" w:ascii="Times New Roman" w:hAnsi="Times New Roman" w:cs="Times New Roman"/>
          <w:color w:val="000000" w:themeColor="text1"/>
          <w:spacing w:val="-3"/>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 xml:space="preserve">授权委托代理人(签名)：         </w:t>
      </w:r>
    </w:p>
    <w:p w14:paraId="23C52322">
      <w:pPr>
        <w:pStyle w:val="2"/>
        <w:wordWrap/>
        <w:jc w:val="left"/>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华文仿宋" w:cs="Times New Roman"/>
          <w:color w:val="000000" w:themeColor="text1"/>
          <w:sz w:val="28"/>
          <w:szCs w:val="28"/>
          <w:highlight w:val="none"/>
          <w14:textFill>
            <w14:solidFill>
              <w14:schemeClr w14:val="tx1"/>
            </w14:solidFill>
          </w14:textFill>
        </w:rPr>
        <w:t xml:space="preserve">                 </w:t>
      </w:r>
      <w:bookmarkStart w:id="195" w:name="_Toc10884"/>
      <w:bookmarkStart w:id="196" w:name="_Toc5417"/>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日</w:t>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期：</w:t>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年</w:t>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月</w:t>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日</w:t>
      </w:r>
      <w:bookmarkEnd w:id="195"/>
      <w:bookmarkEnd w:id="196"/>
    </w:p>
    <w:p w14:paraId="1C7BCBBD">
      <w:pPr>
        <w:pStyle w:val="2"/>
        <w:wordWrap w:val="0"/>
        <w:jc w:val="right"/>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6BDFAAA4">
      <w:pPr>
        <w:pStyle w:val="2"/>
        <w:wordWrap w:val="0"/>
        <w:jc w:val="right"/>
        <w:rPr>
          <w:rFonts w:hint="default" w:ascii="Times New Roman" w:hAnsi="Times New Roman" w:eastAsia="方正仿宋_GB2312" w:cs="Times New Roman"/>
          <w:color w:val="000000" w:themeColor="text1"/>
          <w:sz w:val="28"/>
          <w:szCs w:val="28"/>
          <w:highlight w:val="none"/>
          <w14:textFill>
            <w14:solidFill>
              <w14:schemeClr w14:val="tx1"/>
            </w14:solidFill>
          </w14:textFill>
        </w:rPr>
      </w:pPr>
    </w:p>
    <w:p w14:paraId="64F88A8E">
      <w:pPr>
        <w:pStyle w:val="2"/>
        <w:wordWrap w:val="0"/>
        <w:ind w:left="0" w:leftChars="0" w:firstLine="0" w:firstLineChars="0"/>
        <w:jc w:val="both"/>
        <w:rPr>
          <w:rFonts w:hint="default" w:ascii="Times New Roman" w:hAnsi="Times New Roman" w:cs="Times New Roman"/>
          <w:color w:val="000000" w:themeColor="text1"/>
          <w:sz w:val="32"/>
          <w:szCs w:val="32"/>
          <w:highlight w:val="none"/>
          <w14:textFill>
            <w14:solidFill>
              <w14:schemeClr w14:val="tx1"/>
            </w14:solidFill>
          </w14:textFill>
        </w:rPr>
      </w:pPr>
      <w:bookmarkStart w:id="197" w:name="_Toc12702"/>
    </w:p>
    <w:p w14:paraId="4E250578">
      <w:pPr>
        <w:pStyle w:val="2"/>
        <w:wordWrap w:val="0"/>
        <w:ind w:left="0" w:leftChars="0" w:firstLine="0" w:firstLineChars="0"/>
        <w:jc w:val="both"/>
        <w:rPr>
          <w:rFonts w:hint="default" w:ascii="Times New Roman" w:hAnsi="Times New Roman" w:cs="Times New Roman"/>
          <w:color w:val="000000" w:themeColor="text1"/>
          <w:sz w:val="32"/>
          <w:szCs w:val="32"/>
          <w:highlight w:val="none"/>
          <w14:textFill>
            <w14:solidFill>
              <w14:schemeClr w14:val="tx1"/>
            </w14:solidFill>
          </w14:textFill>
        </w:rPr>
      </w:pPr>
    </w:p>
    <w:p w14:paraId="3B98991F">
      <w:pPr>
        <w:pStyle w:val="2"/>
        <w:wordWrap w:val="0"/>
        <w:ind w:left="0" w:leftChars="0" w:firstLine="0" w:firstLineChars="0"/>
        <w:jc w:val="both"/>
        <w:rPr>
          <w:rFonts w:hint="default" w:ascii="Times New Roman" w:hAnsi="Times New Roman" w:cs="Times New Roman"/>
          <w:color w:val="000000" w:themeColor="text1"/>
          <w:sz w:val="32"/>
          <w:szCs w:val="32"/>
          <w:highlight w:val="none"/>
          <w14:textFill>
            <w14:solidFill>
              <w14:schemeClr w14:val="tx1"/>
            </w14:solidFill>
          </w14:textFill>
        </w:rPr>
      </w:pPr>
    </w:p>
    <w:p w14:paraId="1558B2DA">
      <w:pPr>
        <w:pStyle w:val="2"/>
        <w:wordWrap w:val="0"/>
        <w:ind w:left="0" w:leftChars="0" w:firstLine="0" w:firstLineChars="0"/>
        <w:jc w:val="both"/>
        <w:rPr>
          <w:rFonts w:hint="default" w:ascii="Times New Roman" w:hAnsi="Times New Roman" w:cs="Times New Roman"/>
          <w:color w:val="000000" w:themeColor="text1"/>
          <w:sz w:val="32"/>
          <w:szCs w:val="32"/>
          <w:highlight w:val="none"/>
          <w14:textFill>
            <w14:solidFill>
              <w14:schemeClr w14:val="tx1"/>
            </w14:solidFill>
          </w14:textFill>
        </w:rPr>
      </w:pPr>
    </w:p>
    <w:p w14:paraId="3D9E8003">
      <w:pPr>
        <w:rPr>
          <w:rFonts w:hint="default" w:ascii="Times New Roman" w:hAnsi="Times New Roman" w:cs="Times New Roman"/>
          <w:color w:val="000000" w:themeColor="text1"/>
          <w:sz w:val="32"/>
          <w:szCs w:val="32"/>
          <w:highlight w:val="none"/>
          <w14:textFill>
            <w14:solidFill>
              <w14:schemeClr w14:val="tx1"/>
            </w14:solidFill>
          </w14:textFill>
        </w:rPr>
      </w:pPr>
    </w:p>
    <w:p w14:paraId="4F966BDB">
      <w:pPr>
        <w:pStyle w:val="2"/>
        <w:rPr>
          <w:rFonts w:hint="default"/>
          <w:color w:val="000000" w:themeColor="text1"/>
          <w:highlight w:val="none"/>
          <w14:textFill>
            <w14:solidFill>
              <w14:schemeClr w14:val="tx1"/>
            </w14:solidFill>
          </w14:textFill>
        </w:rPr>
      </w:pPr>
    </w:p>
    <w:p w14:paraId="4DA22B68">
      <w:pPr>
        <w:pStyle w:val="2"/>
        <w:jc w:val="left"/>
        <w:rPr>
          <w:rFonts w:hint="default" w:ascii="Times New Roman" w:hAnsi="Times New Roman" w:eastAsia="黑体" w:cs="Times New Roman"/>
          <w:b w:val="0"/>
          <w:bCs/>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、竞价报价单</w:t>
      </w:r>
      <w:bookmarkEnd w:id="194"/>
      <w:bookmarkEnd w:id="197"/>
    </w:p>
    <w:p w14:paraId="5F62C0AA">
      <w:pPr>
        <w:spacing w:before="34" w:line="360" w:lineRule="auto"/>
        <w:ind w:left="120"/>
        <w:jc w:val="center"/>
        <w:rPr>
          <w:rFonts w:hint="default" w:ascii="Times New Roman" w:hAnsi="Times New Roman" w:eastAsia="方正小标宋简体"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highlight w:val="none"/>
          <w14:textFill>
            <w14:solidFill>
              <w14:schemeClr w14:val="tx1"/>
            </w14:solidFill>
          </w14:textFill>
        </w:rPr>
        <w:t>竞价报价单</w:t>
      </w:r>
      <w:r>
        <w:rPr>
          <w:rFonts w:hint="default" w:ascii="Times New Roman" w:hAnsi="Times New Roman" w:eastAsia="方正小标宋简体" w:cs="Times New Roman"/>
          <w:b w:val="0"/>
          <w:bCs/>
          <w:color w:val="000000" w:themeColor="text1"/>
          <w:sz w:val="32"/>
          <w:szCs w:val="32"/>
          <w:highlight w:val="none"/>
          <w:lang w:val="en-US" w:eastAsia="zh-CN"/>
          <w14:textFill>
            <w14:solidFill>
              <w14:schemeClr w14:val="tx1"/>
            </w14:solidFill>
          </w14:textFill>
        </w:rPr>
        <w:t xml:space="preserve"> </w:t>
      </w:r>
    </w:p>
    <w:tbl>
      <w:tblPr>
        <w:tblStyle w:val="9"/>
        <w:tblW w:w="8875" w:type="dxa"/>
        <w:tblInd w:w="0" w:type="dxa"/>
        <w:tblLayout w:type="fixed"/>
        <w:tblCellMar>
          <w:top w:w="0" w:type="dxa"/>
          <w:left w:w="0" w:type="dxa"/>
          <w:bottom w:w="0" w:type="dxa"/>
          <w:right w:w="0" w:type="dxa"/>
        </w:tblCellMar>
      </w:tblPr>
      <w:tblGrid>
        <w:gridCol w:w="2950"/>
        <w:gridCol w:w="5925"/>
      </w:tblGrid>
      <w:tr w14:paraId="44CE84A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2DD9">
            <w:pPr>
              <w:widowControl/>
              <w:jc w:val="center"/>
              <w:textAlignment w:val="cente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EEF4B">
            <w:pPr>
              <w:widowControl/>
              <w:textAlignment w:val="cente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p>
        </w:tc>
      </w:tr>
      <w:tr w14:paraId="2C2F4391">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BCB13">
            <w:pPr>
              <w:widowControl/>
              <w:jc w:val="center"/>
              <w:textAlignment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2EBE3">
            <w:pPr>
              <w:widowControl/>
              <w:textAlignment w:val="center"/>
              <w:rPr>
                <w:rFonts w:hint="default" w:ascii="Times New Roman" w:hAnsi="Times New Roman"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u w:val="none"/>
                <w:lang w:val="en-US" w:eastAsia="zh-CN"/>
                <w14:textFill>
                  <w14:solidFill>
                    <w14:schemeClr w14:val="tx1"/>
                  </w14:solidFill>
                </w14:textFill>
              </w:rPr>
              <w:t>杂石混合料</w:t>
            </w:r>
          </w:p>
        </w:tc>
      </w:tr>
      <w:tr w14:paraId="34BE114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D3357">
            <w:pPr>
              <w:widowControl/>
              <w:jc w:val="center"/>
              <w:textAlignment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492DE">
            <w:pPr>
              <w:widowControl/>
              <w:textAlignment w:val="cente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sz w:val="28"/>
                <w:szCs w:val="28"/>
                <w:highlight w:val="none"/>
                <w:u w:val="none"/>
                <w:lang w:val="en-US" w:eastAsia="zh-CN"/>
                <w14:textFill>
                  <w14:solidFill>
                    <w14:schemeClr w14:val="tx1"/>
                  </w14:solidFill>
                </w14:textFill>
              </w:rPr>
              <w:t>小写：</w:t>
            </w:r>
            <w:r>
              <w:rPr>
                <w:rFonts w:hint="eastAsia" w:ascii="Times New Roman" w:hAnsi="Times New Roman" w:cs="Times New Roman"/>
                <w:color w:val="000000" w:themeColor="text1"/>
                <w:sz w:val="28"/>
                <w:szCs w:val="28"/>
                <w:highlight w:val="none"/>
                <w:u w:val="none"/>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30</w:t>
            </w:r>
            <w:r>
              <w:rPr>
                <w:rFonts w:hint="default" w:ascii="Times New Roman" w:hAnsi="Times New Roman" w:cs="Times New Roman"/>
                <w:color w:val="000000" w:themeColor="text1"/>
                <w:sz w:val="28"/>
                <w:szCs w:val="28"/>
                <w:highlight w:val="none"/>
                <w14:textFill>
                  <w14:solidFill>
                    <w14:schemeClr w14:val="tx1"/>
                  </w14:solidFill>
                </w14:textFill>
              </w:rPr>
              <w:t>万吨</w:t>
            </w:r>
          </w:p>
        </w:tc>
      </w:tr>
      <w:tr w14:paraId="498E0D36">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57A1E">
            <w:pPr>
              <w:widowControl/>
              <w:jc w:val="center"/>
              <w:textAlignment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8F1D7BE">
            <w:pP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小写：</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 xml:space="preserve">元/吨    </w:t>
            </w:r>
          </w:p>
        </w:tc>
      </w:tr>
      <w:tr w14:paraId="05035B13">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4F37FA2D">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总价（人民币）</w:t>
            </w:r>
          </w:p>
          <w:p w14:paraId="01AF177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b/>
                <w:bCs/>
                <w:color w:val="000000" w:themeColor="text1"/>
                <w:sz w:val="28"/>
                <w:szCs w:val="28"/>
                <w:highlight w:val="none"/>
                <w14:textFill>
                  <w14:solidFill>
                    <w14:schemeClr w14:val="tx1"/>
                  </w14:solidFill>
                </w14:textFill>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019D6E">
            <w:pPr>
              <w:rPr>
                <w:rFonts w:hint="default" w:ascii="Times New Roman" w:hAnsi="Times New Roman" w:eastAsia="华文仿宋"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小写：</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14:textFill>
                  <w14:solidFill>
                    <w14:schemeClr w14:val="tx1"/>
                  </w14:solidFill>
                </w14:textFill>
              </w:rPr>
              <w:t>元</w:t>
            </w:r>
            <w:r>
              <w:rPr>
                <w:rFonts w:hint="default" w:ascii="Times New Roman" w:hAnsi="Times New Roman" w:cs="Times New Roman"/>
                <w:color w:val="000000" w:themeColor="text1"/>
                <w:sz w:val="28"/>
                <w:szCs w:val="28"/>
                <w:highlight w:val="none"/>
                <w:lang w:eastAsia="zh-CN"/>
                <w14:textFill>
                  <w14:solidFill>
                    <w14:schemeClr w14:val="tx1"/>
                  </w14:solidFill>
                </w14:textFill>
              </w:rPr>
              <w:t>（</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含税</w:t>
            </w:r>
            <w:r>
              <w:rPr>
                <w:rFonts w:hint="default" w:ascii="Times New Roman" w:hAnsi="Times New Roman" w:cs="Times New Roman"/>
                <w:color w:val="000000" w:themeColor="text1"/>
                <w:sz w:val="28"/>
                <w:szCs w:val="28"/>
                <w:highlight w:val="none"/>
                <w:lang w:eastAsia="zh-CN"/>
                <w14:textFill>
                  <w14:solidFill>
                    <w14:schemeClr w14:val="tx1"/>
                  </w14:solidFill>
                </w14:textFill>
              </w:rPr>
              <w:t>）</w:t>
            </w:r>
          </w:p>
        </w:tc>
      </w:tr>
      <w:tr w14:paraId="6285A4B6">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6A0F75F6">
            <w:pPr>
              <w:widowControl/>
              <w:jc w:val="center"/>
              <w:textAlignment w:val="center"/>
              <w:rPr>
                <w:rFonts w:hint="default" w:ascii="Times New Roman" w:hAnsi="Times New Roman" w:cs="Times New Roman"/>
                <w:color w:val="000000" w:themeColor="text1"/>
                <w:sz w:val="28"/>
                <w:szCs w:val="28"/>
                <w:highlight w:val="none"/>
                <w14:textFill>
                  <w14:solidFill>
                    <w14:schemeClr w14:val="tx1"/>
                  </w14:solidFill>
                </w14:textFill>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2AAB27">
            <w:pPr>
              <w:rPr>
                <w:rFonts w:hint="default" w:ascii="Times New Roman" w:hAnsi="Times New Roman" w:eastAsia="华文仿宋" w:cs="Times New Roman"/>
                <w:color w:val="000000" w:themeColor="text1"/>
                <w:sz w:val="28"/>
                <w:szCs w:val="28"/>
                <w:highlight w:val="none"/>
                <w:lang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大写：</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p>
        </w:tc>
      </w:tr>
    </w:tbl>
    <w:p w14:paraId="056EA3A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000000" w:themeColor="text1"/>
          <w:sz w:val="28"/>
          <w:szCs w:val="28"/>
          <w:highlight w:val="none"/>
          <w14:textFill>
            <w14:solidFill>
              <w14:schemeClr w14:val="tx1"/>
            </w14:solidFill>
          </w14:textFill>
        </w:rPr>
      </w:pPr>
      <w:r>
        <w:rPr>
          <w:rFonts w:hint="default" w:ascii="Times New Roman" w:hAnsi="Times New Roman" w:eastAsia="华文仿宋" w:cs="Times New Roman"/>
          <w:b/>
          <w:bCs/>
          <w:color w:val="000000" w:themeColor="text1"/>
          <w:sz w:val="28"/>
          <w:szCs w:val="28"/>
          <w:highlight w:val="none"/>
          <w14:textFill>
            <w14:solidFill>
              <w14:schemeClr w14:val="tx1"/>
            </w14:solidFill>
          </w14:textFill>
        </w:rPr>
        <w:t>填报说明：</w:t>
      </w:r>
    </w:p>
    <w:p w14:paraId="78BCBC7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华文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华文仿宋" w:cs="Times New Roman"/>
          <w:b w:val="0"/>
          <w:bCs w:val="0"/>
          <w:color w:val="000000" w:themeColor="text1"/>
          <w:sz w:val="28"/>
          <w:szCs w:val="28"/>
          <w:highlight w:val="none"/>
          <w:lang w:val="en-US" w:eastAsia="zh-CN"/>
          <w14:textFill>
            <w14:solidFill>
              <w14:schemeClr w14:val="tx1"/>
            </w14:solidFill>
          </w14:textFill>
        </w:rPr>
        <w:t>.</w:t>
      </w:r>
      <w:r>
        <w:rPr>
          <w:rFonts w:hint="default" w:ascii="Times New Roman" w:hAnsi="Times New Roman" w:eastAsia="华文仿宋" w:cs="Times New Roman"/>
          <w:b w:val="0"/>
          <w:bCs w:val="0"/>
          <w:color w:val="000000" w:themeColor="text1"/>
          <w:sz w:val="28"/>
          <w:szCs w:val="28"/>
          <w:highlight w:val="none"/>
          <w14:textFill>
            <w14:solidFill>
              <w14:schemeClr w14:val="tx1"/>
            </w14:solidFill>
          </w14:textFill>
        </w:rPr>
        <w:t>竞买单价为产品出厂自提税价单价（单位：元/吨）且不低于竞价底价，单价精确到小数点后两位，具体含税价格按照国家法定税率收取，竞买单价低于竞价底价视为无效报价。</w:t>
      </w:r>
    </w:p>
    <w:p w14:paraId="6CA72E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华文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华文仿宋" w:cs="Times New Roman"/>
          <w:b w:val="0"/>
          <w:bCs w:val="0"/>
          <w:color w:val="000000" w:themeColor="text1"/>
          <w:sz w:val="28"/>
          <w:szCs w:val="28"/>
          <w:highlight w:val="none"/>
          <w:lang w:val="en-US" w:eastAsia="zh-CN"/>
          <w14:textFill>
            <w14:solidFill>
              <w14:schemeClr w14:val="tx1"/>
            </w14:solidFill>
          </w14:textFill>
        </w:rPr>
        <w:t>.</w:t>
      </w:r>
      <w:r>
        <w:rPr>
          <w:rFonts w:hint="default" w:ascii="Times New Roman" w:hAnsi="Times New Roman" w:eastAsia="华文仿宋" w:cs="Times New Roman"/>
          <w:b w:val="0"/>
          <w:bCs w:val="0"/>
          <w:color w:val="000000" w:themeColor="text1"/>
          <w:sz w:val="28"/>
          <w:szCs w:val="28"/>
          <w:highlight w:val="none"/>
          <w14:textFill>
            <w14:solidFill>
              <w14:schemeClr w14:val="tx1"/>
            </w14:solidFill>
          </w14:textFill>
        </w:rPr>
        <w:t>总价为竞买人竞买交易量乘以单价（含税价），精确到小数点后两位；竞买人竞价交易量乘以单价的汇总与总价不一致时以汇总为准，修正总价。</w:t>
      </w:r>
    </w:p>
    <w:p w14:paraId="7274FCC2">
      <w:pPr>
        <w:pStyle w:val="5"/>
        <w:rPr>
          <w:rFonts w:hint="default" w:ascii="Times New Roman" w:hAnsi="Times New Roman" w:eastAsia="华文仿宋" w:cs="Times New Roman"/>
          <w:b/>
          <w:bCs/>
          <w:color w:val="000000" w:themeColor="text1"/>
          <w:sz w:val="21"/>
          <w:szCs w:val="21"/>
          <w:highlight w:val="none"/>
          <w:lang w:val="en-US" w:eastAsia="zh-CN"/>
          <w14:textFill>
            <w14:solidFill>
              <w14:schemeClr w14:val="tx1"/>
            </w14:solidFill>
          </w14:textFill>
        </w:rPr>
      </w:pPr>
    </w:p>
    <w:p w14:paraId="2258D131">
      <w:pPr>
        <w:pStyle w:val="5"/>
        <w:rPr>
          <w:rFonts w:hint="default" w:ascii="Times New Roman" w:hAnsi="Times New Roman" w:eastAsia="华文仿宋" w:cs="Times New Roman"/>
          <w:b/>
          <w:bCs/>
          <w:color w:val="000000" w:themeColor="text1"/>
          <w:sz w:val="21"/>
          <w:szCs w:val="21"/>
          <w:highlight w:val="none"/>
          <w:lang w:val="en-US" w:eastAsia="zh-CN"/>
          <w14:textFill>
            <w14:solidFill>
              <w14:schemeClr w14:val="tx1"/>
            </w14:solidFill>
          </w14:textFill>
        </w:rPr>
      </w:pPr>
    </w:p>
    <w:p w14:paraId="32ADB1E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pPr>
      <w:r>
        <w:rPr>
          <w:rFonts w:hint="default" w:ascii="Times New Roman" w:hAnsi="Times New Roman" w:cs="Times New Roman"/>
          <w:color w:val="000000" w:themeColor="text1"/>
          <w:spacing w:val="-1"/>
          <w:sz w:val="24"/>
          <w:szCs w:val="24"/>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1"/>
          <w:sz w:val="28"/>
          <w:szCs w:val="28"/>
          <w:highlight w:val="none"/>
          <w14:textFill>
            <w14:solidFill>
              <w14:schemeClr w14:val="tx1"/>
            </w14:solidFill>
          </w14:textFill>
        </w:rPr>
        <w:t>竞买人（盖章）：</w:t>
      </w:r>
    </w:p>
    <w:p w14:paraId="7D307A8D">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cs="Times New Roman"/>
          <w:color w:val="000000" w:themeColor="text1"/>
          <w:spacing w:val="-3"/>
          <w:sz w:val="28"/>
          <w:szCs w:val="28"/>
          <w:highlight w:val="none"/>
          <w:lang w:val="en-US" w:eastAsia="zh-CN"/>
          <w14:textFill>
            <w14:solidFill>
              <w14:schemeClr w14:val="tx1"/>
            </w14:solidFill>
          </w14:textFill>
        </w:rPr>
        <w:t xml:space="preserve">  </w:t>
      </w: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 xml:space="preserve">法定代表人（签名）：         </w:t>
      </w:r>
    </w:p>
    <w:p w14:paraId="2ABB727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pPr>
      <w:r>
        <w:rPr>
          <w:rFonts w:hint="default" w:ascii="Times New Roman" w:hAnsi="Times New Roman" w:eastAsia="华文仿宋" w:cs="Times New Roman"/>
          <w:color w:val="000000" w:themeColor="text1"/>
          <w:spacing w:val="-3"/>
          <w:sz w:val="28"/>
          <w:szCs w:val="28"/>
          <w:highlight w:val="none"/>
          <w14:textFill>
            <w14:solidFill>
              <w14:schemeClr w14:val="tx1"/>
            </w14:solidFill>
          </w14:textFill>
        </w:rPr>
        <w:t>授权委托代理人(签名)：</w:t>
      </w:r>
    </w:p>
    <w:p w14:paraId="49A11413">
      <w:pPr>
        <w:jc w:val="center"/>
        <w:rPr>
          <w:color w:val="000000" w:themeColor="text1"/>
          <w:highlight w:val="none"/>
          <w14:textFill>
            <w14:solidFill>
              <w14:schemeClr w14:val="tx1"/>
            </w14:solidFill>
          </w14:textFill>
        </w:rPr>
      </w:pPr>
      <w:r>
        <w:rPr>
          <w:rFonts w:hint="eastAsia" w:ascii="Times New Roman" w:hAnsi="Times New Roman" w:cs="Times New Roman"/>
          <w:b w:val="0"/>
          <w:color w:val="000000" w:themeColor="text1"/>
          <w:spacing w:val="-3"/>
          <w:kern w:val="2"/>
          <w:sz w:val="28"/>
          <w:szCs w:val="28"/>
          <w:highlight w:val="none"/>
          <w:lang w:val="en-US" w:eastAsia="zh-CN" w:bidi="ar-SA"/>
          <w14:textFill>
            <w14:solidFill>
              <w14:schemeClr w14:val="tx1"/>
            </w14:solidFill>
          </w14:textFill>
        </w:rPr>
        <w:t xml:space="preserve">                                   </w:t>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日</w:t>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期：</w:t>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年</w:t>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月</w:t>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u w:val="single"/>
          <w:lang w:val="en-US" w:eastAsia="zh-CN" w:bidi="ar-SA"/>
          <w14:textFill>
            <w14:solidFill>
              <w14:schemeClr w14:val="tx1"/>
            </w14:solidFill>
          </w14:textFill>
        </w:rPr>
        <w:tab/>
      </w:r>
      <w:r>
        <w:rPr>
          <w:rFonts w:hint="default" w:ascii="Times New Roman" w:hAnsi="Times New Roman" w:eastAsia="华文仿宋" w:cs="Times New Roman"/>
          <w:b w:val="0"/>
          <w:color w:val="000000" w:themeColor="text1"/>
          <w:spacing w:val="-3"/>
          <w:kern w:val="2"/>
          <w:sz w:val="28"/>
          <w:szCs w:val="28"/>
          <w:highlight w:val="none"/>
          <w:lang w:val="en-US" w:eastAsia="zh-CN" w:bidi="ar-SA"/>
          <w14:textFill>
            <w14:solidFill>
              <w14:schemeClr w14:val="tx1"/>
            </w14:solidFill>
          </w14:textFill>
        </w:rPr>
        <w:t>日</w:t>
      </w:r>
    </w:p>
    <w:bookmarkEnd w:id="198"/>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3D3C81-EC4F-4234-B5B9-07EC5DDAD1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B401A6-94E5-4F20-8DA7-5EB20E97D14D}"/>
  </w:font>
  <w:font w:name="华文仿宋">
    <w:panose1 w:val="02010600040101010101"/>
    <w:charset w:val="86"/>
    <w:family w:val="auto"/>
    <w:pitch w:val="default"/>
    <w:sig w:usb0="00000287" w:usb1="080F0000" w:usb2="00000000" w:usb3="00000000" w:csb0="0004009F" w:csb1="DFD70000"/>
    <w:embedRegular r:id="rId3" w:fontKey="{C9856430-726C-4734-80CE-6C49F63B74DF}"/>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FDA3F0A1-9C1B-4C07-BAD7-C98E5FD00CC1}"/>
  </w:font>
  <w:font w:name="仿宋">
    <w:panose1 w:val="02010609060101010101"/>
    <w:charset w:val="86"/>
    <w:family w:val="auto"/>
    <w:pitch w:val="default"/>
    <w:sig w:usb0="800002BF" w:usb1="38CF7CFA" w:usb2="00000016" w:usb3="00000000" w:csb0="00040001" w:csb1="00000000"/>
    <w:embedRegular r:id="rId5" w:fontKey="{566F040E-7B5D-46F6-B84B-8EA127E08A83}"/>
  </w:font>
  <w:font w:name="方正小标宋简体">
    <w:panose1 w:val="03000509000000000000"/>
    <w:charset w:val="86"/>
    <w:family w:val="auto"/>
    <w:pitch w:val="default"/>
    <w:sig w:usb0="00000001" w:usb1="080E0000" w:usb2="00000000" w:usb3="00000000" w:csb0="00040000" w:csb1="00000000"/>
    <w:embedRegular r:id="rId6" w:fontKey="{AD95EBE0-81FE-42E8-807E-29AE1D2EEF2D}"/>
  </w:font>
  <w:font w:name="方正仿宋_GBK">
    <w:panose1 w:val="03000509000000000000"/>
    <w:charset w:val="86"/>
    <w:family w:val="auto"/>
    <w:pitch w:val="default"/>
    <w:sig w:usb0="00000001" w:usb1="080E0000" w:usb2="00000000" w:usb3="00000000" w:csb0="00040000" w:csb1="00000000"/>
    <w:embedRegular r:id="rId7" w:fontKey="{C77632A6-AD87-46C6-8529-55BFDC96FD6C}"/>
  </w:font>
  <w:font w:name="仿宋_GB2312">
    <w:panose1 w:val="02010609030101010101"/>
    <w:charset w:val="86"/>
    <w:family w:val="auto"/>
    <w:pitch w:val="default"/>
    <w:sig w:usb0="00000001" w:usb1="080E0000" w:usb2="00000000" w:usb3="00000000" w:csb0="00040000" w:csb1="00000000"/>
    <w:embedRegular r:id="rId8" w:fontKey="{27C01B4E-3E6B-4D81-823C-11A0F0EED44B}"/>
  </w:font>
  <w:font w:name="方正仿宋_GB2312">
    <w:panose1 w:val="02000000000000000000"/>
    <w:charset w:val="86"/>
    <w:family w:val="auto"/>
    <w:pitch w:val="default"/>
    <w:sig w:usb0="A00002BF" w:usb1="184F6CFA" w:usb2="00000012" w:usb3="00000000" w:csb0="00040001" w:csb1="00000000"/>
    <w:embedRegular r:id="rId9" w:fontKey="{104996D7-2EF6-4E35-80DD-73544F765C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439A">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36ED"/>
    <w:rsid w:val="026A5F8E"/>
    <w:rsid w:val="11E1020D"/>
    <w:rsid w:val="1AC02084"/>
    <w:rsid w:val="20324E29"/>
    <w:rsid w:val="2A710D92"/>
    <w:rsid w:val="4A580C18"/>
    <w:rsid w:val="604B36ED"/>
    <w:rsid w:val="7898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Body Text Indent 2"/>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8">
    <w:name w:val="Body Text First Indent 2"/>
    <w:next w:val="7"/>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 w:type="paragraph" w:customStyle="1" w:styleId="13">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4">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10488</Words>
  <Characters>10844</Characters>
  <Lines>0</Lines>
  <Paragraphs>0</Paragraphs>
  <TotalTime>1</TotalTime>
  <ScaleCrop>false</ScaleCrop>
  <LinksUpToDate>false</LinksUpToDate>
  <CharactersWithSpaces>11794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2025-04-22T11:29:00Z</dcterms:created>
  <dc:creator>吴彪</dc:creator>
  <cp:lastModifiedBy>WPS_1638150397</cp:lastModifiedBy>
  <dcterms:modified xsi:type="dcterms:W3CDTF">2025-04-24T01:43:27Z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2867A93EC0E1432C98D8B7156CD5AB68_13</vt:lpwstr>
  </property>
  <property fmtid="{D5CDD505-2E9C-101B-9397-08002B2CF9AE}" pid="4" name="KSOTemplateDocerSaveRecord">
    <vt:lpwstr>eyJoZGlkIjoiNTY2ZGMwZTBjMGMzZDlhMmQxMTQ0Njk2ZTU1NTVhODIiLCJ1c2VySWQiOiIxMjkyNjgxMjcyIn0=</vt:lpwstr>
  </property>
</Properties>
</file>